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drawings/drawing1.xml" ContentType="application/vnd.openxmlformats-officedocument.drawingml.chartshapes+xml"/>
  <Override PartName="/word/charts/chart3.xml" ContentType="application/vnd.openxmlformats-officedocument.drawingml.chart+xml"/>
  <Override PartName="/word/drawings/drawing2.xml" ContentType="application/vnd.openxmlformats-officedocument.drawingml.chartshapes+xml"/>
  <Override PartName="/word/charts/chart4.xml" ContentType="application/vnd.openxmlformats-officedocument.drawingml.chart+xml"/>
  <Override PartName="/word/charts/chart5.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4C29" w:rsidRPr="00507E23" w:rsidRDefault="00854C29" w:rsidP="003D75C7">
      <w:pPr>
        <w:pStyle w:val="Title"/>
        <w:spacing w:before="240"/>
        <w:jc w:val="center"/>
        <w:rPr>
          <w:b/>
          <w:bCs/>
          <w:sz w:val="36"/>
          <w:szCs w:val="36"/>
        </w:rPr>
      </w:pPr>
      <w:r w:rsidRPr="00507E23">
        <w:rPr>
          <w:b/>
          <w:bCs/>
          <w:sz w:val="36"/>
          <w:szCs w:val="36"/>
        </w:rPr>
        <w:t xml:space="preserve">Statistics </w:t>
      </w:r>
      <w:r w:rsidR="003871DA" w:rsidRPr="00507E23">
        <w:rPr>
          <w:b/>
          <w:bCs/>
          <w:sz w:val="36"/>
          <w:szCs w:val="36"/>
        </w:rPr>
        <w:t>Release</w:t>
      </w:r>
      <w:r w:rsidRPr="00507E23">
        <w:rPr>
          <w:b/>
          <w:bCs/>
          <w:sz w:val="36"/>
          <w:szCs w:val="36"/>
        </w:rPr>
        <w:t xml:space="preserve">: </w:t>
      </w:r>
      <w:r w:rsidR="003871DA" w:rsidRPr="00507E23">
        <w:rPr>
          <w:b/>
          <w:bCs/>
          <w:sz w:val="36"/>
          <w:szCs w:val="36"/>
        </w:rPr>
        <w:t>HIES 2010</w:t>
      </w:r>
    </w:p>
    <w:p w:rsidR="00854C29" w:rsidRPr="00DD657C" w:rsidRDefault="00854C29" w:rsidP="00862C11">
      <w:pPr>
        <w:pStyle w:val="Heading1"/>
        <w:spacing w:after="240"/>
        <w:jc w:val="center"/>
        <w:rPr>
          <w:spacing w:val="30"/>
          <w:sz w:val="32"/>
          <w:szCs w:val="32"/>
        </w:rPr>
      </w:pPr>
      <w:r w:rsidRPr="00DD657C">
        <w:rPr>
          <w:spacing w:val="30"/>
          <w:sz w:val="32"/>
          <w:szCs w:val="32"/>
        </w:rPr>
        <w:t>Highlights</w:t>
      </w:r>
    </w:p>
    <w:p w:rsidR="00055F25" w:rsidRPr="00DD657C" w:rsidRDefault="00055F25" w:rsidP="00055F25">
      <w:pPr>
        <w:pStyle w:val="Heading2"/>
        <w:rPr>
          <w:spacing w:val="30"/>
        </w:rPr>
      </w:pPr>
      <w:r w:rsidRPr="00DD657C">
        <w:rPr>
          <w:spacing w:val="30"/>
        </w:rPr>
        <w:t xml:space="preserve">Introduction </w:t>
      </w:r>
    </w:p>
    <w:p w:rsidR="003871DA" w:rsidRPr="00507E23" w:rsidRDefault="003871DA" w:rsidP="00DD657C">
      <w:pPr>
        <w:spacing w:before="120" w:line="336" w:lineRule="auto"/>
        <w:ind w:right="-62"/>
        <w:jc w:val="both"/>
        <w:rPr>
          <w:rFonts w:ascii="Tahoma" w:hAnsi="Tahoma" w:cs="Tahoma"/>
          <w:color w:val="000000"/>
        </w:rPr>
      </w:pPr>
      <w:r w:rsidRPr="00507E23">
        <w:rPr>
          <w:rFonts w:ascii="Tahoma" w:hAnsi="Tahoma" w:cs="Tahoma"/>
          <w:color w:val="000000"/>
        </w:rPr>
        <w:t xml:space="preserve">The Household Income and Expenditure Survey (HIES) was carried out by the Vanuatu National Statistics Office (VNSO) in </w:t>
      </w:r>
      <w:r w:rsidR="002C597C">
        <w:rPr>
          <w:rFonts w:ascii="Tahoma" w:hAnsi="Tahoma" w:cs="Tahoma"/>
          <w:color w:val="000000"/>
        </w:rPr>
        <w:t xml:space="preserve">late </w:t>
      </w:r>
      <w:r w:rsidRPr="00507E23">
        <w:rPr>
          <w:rFonts w:ascii="Tahoma" w:hAnsi="Tahoma" w:cs="Tahoma"/>
          <w:color w:val="000000"/>
        </w:rPr>
        <w:t xml:space="preserve">2010 to collect information on housing characteristics, access to facilities and infrastructure, sources of household income and types of household expenditure (daily, monthly and irregular intervals). The HIES was a sample survey, collecting information from 10% of households from Torba to Tafea, designed to provide reliable statistical information for analysis of income and expenditure at the province level. </w:t>
      </w:r>
      <w:r w:rsidR="002C6357">
        <w:rPr>
          <w:rFonts w:ascii="Tahoma" w:hAnsi="Tahoma" w:cs="Tahoma"/>
          <w:color w:val="000000"/>
        </w:rPr>
        <w:t>The Relative Standard Errors (</w:t>
      </w:r>
      <w:proofErr w:type="spellStart"/>
      <w:r w:rsidR="002C6357">
        <w:rPr>
          <w:rFonts w:ascii="Tahoma" w:hAnsi="Tahoma" w:cs="Tahoma"/>
          <w:color w:val="000000"/>
        </w:rPr>
        <w:t>RSE’s</w:t>
      </w:r>
      <w:proofErr w:type="spellEnd"/>
      <w:r w:rsidR="002C6357">
        <w:rPr>
          <w:rFonts w:ascii="Tahoma" w:hAnsi="Tahoma" w:cs="Tahoma"/>
          <w:color w:val="000000"/>
        </w:rPr>
        <w:t xml:space="preserve">) for the major HIES variables are included in Annex 1. </w:t>
      </w:r>
    </w:p>
    <w:p w:rsidR="002C597C" w:rsidRDefault="00055F25" w:rsidP="00DD657C">
      <w:pPr>
        <w:spacing w:before="0" w:line="336" w:lineRule="auto"/>
        <w:ind w:right="-62"/>
        <w:jc w:val="both"/>
        <w:rPr>
          <w:rFonts w:ascii="Tahoma" w:hAnsi="Tahoma" w:cs="Tahoma"/>
          <w:color w:val="000000"/>
        </w:rPr>
      </w:pPr>
      <w:r w:rsidRPr="00507E23">
        <w:rPr>
          <w:rFonts w:ascii="Tahoma" w:hAnsi="Tahoma" w:cs="Tahoma"/>
          <w:color w:val="000000"/>
        </w:rPr>
        <w:t xml:space="preserve">The HIES provides a </w:t>
      </w:r>
      <w:r w:rsidR="00E25A09" w:rsidRPr="00507E23">
        <w:rPr>
          <w:rFonts w:ascii="Tahoma" w:hAnsi="Tahoma" w:cs="Tahoma"/>
          <w:color w:val="000000"/>
        </w:rPr>
        <w:t>range</w:t>
      </w:r>
      <w:r w:rsidRPr="00507E23">
        <w:rPr>
          <w:rFonts w:ascii="Tahoma" w:hAnsi="Tahoma" w:cs="Tahoma"/>
          <w:color w:val="000000"/>
        </w:rPr>
        <w:t xml:space="preserve"> of </w:t>
      </w:r>
      <w:r w:rsidR="00E25A09" w:rsidRPr="00507E23">
        <w:rPr>
          <w:rFonts w:ascii="Tahoma" w:hAnsi="Tahoma" w:cs="Tahoma"/>
          <w:color w:val="000000"/>
        </w:rPr>
        <w:t xml:space="preserve">detailed </w:t>
      </w:r>
      <w:r w:rsidRPr="00507E23">
        <w:rPr>
          <w:rFonts w:ascii="Tahoma" w:hAnsi="Tahoma" w:cs="Tahoma"/>
          <w:color w:val="000000"/>
        </w:rPr>
        <w:t xml:space="preserve">information about household expenditure and income, including so called ‘subsistence activities’ where households produce and consume their own food from the land and sea, household supplies like firewood and thatch and other items such as oils, handicrafts and clothing. </w:t>
      </w:r>
      <w:r w:rsidR="003F49F6">
        <w:rPr>
          <w:rFonts w:ascii="Tahoma" w:hAnsi="Tahoma" w:cs="Tahoma"/>
          <w:color w:val="000000"/>
        </w:rPr>
        <w:t xml:space="preserve">The value of these ‘home produced’ items is included in total household income, representing the value of the item the household has produced and in household expenditure, representing the value that the household has consumed. </w:t>
      </w:r>
      <w:r w:rsidR="002C597C">
        <w:rPr>
          <w:rFonts w:ascii="Tahoma" w:hAnsi="Tahoma" w:cs="Tahoma"/>
          <w:color w:val="000000"/>
        </w:rPr>
        <w:t xml:space="preserve">Household income is defined as income from work (pay or profit); the value of subsistence items; income from sales of agricultural items and home produced manufactured products such as mats, bread </w:t>
      </w:r>
      <w:proofErr w:type="spellStart"/>
      <w:r w:rsidR="002C597C">
        <w:rPr>
          <w:rFonts w:ascii="Tahoma" w:hAnsi="Tahoma" w:cs="Tahoma"/>
          <w:color w:val="000000"/>
        </w:rPr>
        <w:t>etc</w:t>
      </w:r>
      <w:proofErr w:type="spellEnd"/>
      <w:r w:rsidR="002C597C">
        <w:rPr>
          <w:rFonts w:ascii="Tahoma" w:hAnsi="Tahoma" w:cs="Tahoma"/>
          <w:color w:val="000000"/>
        </w:rPr>
        <w:t xml:space="preserve">; other sources such as rent, interest </w:t>
      </w:r>
      <w:proofErr w:type="spellStart"/>
      <w:r w:rsidR="002C597C">
        <w:rPr>
          <w:rFonts w:ascii="Tahoma" w:hAnsi="Tahoma" w:cs="Tahoma"/>
          <w:color w:val="000000"/>
        </w:rPr>
        <w:t>etc</w:t>
      </w:r>
      <w:proofErr w:type="spellEnd"/>
      <w:r w:rsidR="002C597C">
        <w:rPr>
          <w:rFonts w:ascii="Tahoma" w:hAnsi="Tahoma" w:cs="Tahoma"/>
          <w:color w:val="000000"/>
        </w:rPr>
        <w:t>; and the value of gifts of goods or cash (including remittances) received by the household. Household expenditure includes purchased goods and services, subsistence items, donations to community and church</w:t>
      </w:r>
      <w:r w:rsidR="00FA13A9">
        <w:rPr>
          <w:rFonts w:ascii="Tahoma" w:hAnsi="Tahoma" w:cs="Tahoma"/>
          <w:color w:val="000000"/>
        </w:rPr>
        <w:t xml:space="preserve"> (called ‘non-consumption expenditure’)</w:t>
      </w:r>
      <w:r w:rsidR="002C597C">
        <w:rPr>
          <w:rFonts w:ascii="Tahoma" w:hAnsi="Tahoma" w:cs="Tahoma"/>
          <w:color w:val="000000"/>
        </w:rPr>
        <w:t xml:space="preserve">, gifts of goods and cash given and received. It is assumed that households consume the gifts received and therefore these are included in expenditure and income.     </w:t>
      </w:r>
    </w:p>
    <w:p w:rsidR="002C597C" w:rsidRPr="002C597C" w:rsidRDefault="002C597C" w:rsidP="00DD657C">
      <w:pPr>
        <w:spacing w:before="0" w:line="336" w:lineRule="auto"/>
        <w:ind w:right="-62"/>
        <w:jc w:val="both"/>
        <w:rPr>
          <w:rFonts w:ascii="Tahoma" w:hAnsi="Tahoma" w:cs="Tahoma"/>
          <w:color w:val="000000"/>
        </w:rPr>
      </w:pPr>
      <w:r>
        <w:rPr>
          <w:rFonts w:ascii="Tahoma" w:hAnsi="Tahoma" w:cs="Tahoma"/>
          <w:color w:val="000000"/>
        </w:rPr>
        <w:t xml:space="preserve">The 2010 HIES was carried out with financial and technical support from the </w:t>
      </w:r>
      <w:r w:rsidRPr="002C597C">
        <w:rPr>
          <w:rFonts w:ascii="Tahoma" w:hAnsi="Tahoma" w:cs="Tahoma"/>
          <w:color w:val="000000"/>
        </w:rPr>
        <w:t xml:space="preserve">United States Government through the Millennium Challenge Corporation (MCC) and the then Millennium Challenge Account, Vanuatu (MCA). </w:t>
      </w:r>
      <w:r w:rsidR="0026175A">
        <w:rPr>
          <w:rFonts w:ascii="Tahoma" w:hAnsi="Tahoma" w:cs="Tahoma"/>
          <w:color w:val="000000"/>
        </w:rPr>
        <w:t xml:space="preserve">The survey was fully managed by VNSO staff, a credit to the capabilities of VNSO professional staff. </w:t>
      </w:r>
    </w:p>
    <w:p w:rsidR="00FA13A9" w:rsidRDefault="00FA13A9" w:rsidP="00DD657C">
      <w:pPr>
        <w:spacing w:before="0" w:line="336" w:lineRule="auto"/>
        <w:ind w:right="-62"/>
        <w:jc w:val="both"/>
        <w:rPr>
          <w:rFonts w:ascii="Tahoma" w:hAnsi="Tahoma" w:cs="Tahoma"/>
          <w:color w:val="000000"/>
        </w:rPr>
      </w:pPr>
      <w:r w:rsidRPr="00507E23">
        <w:rPr>
          <w:rFonts w:ascii="Tahoma" w:hAnsi="Tahoma" w:cs="Tahoma"/>
          <w:color w:val="000000"/>
        </w:rPr>
        <w:t xml:space="preserve">This summary release provides a snapshot of the key HIES results, with much more analysis contained two other reports based on the HIES to be released in </w:t>
      </w:r>
      <w:r w:rsidR="00FC4ABF">
        <w:rPr>
          <w:rFonts w:ascii="Tahoma" w:hAnsi="Tahoma" w:cs="Tahoma"/>
          <w:color w:val="000000"/>
        </w:rPr>
        <w:t>late</w:t>
      </w:r>
      <w:bookmarkStart w:id="0" w:name="_GoBack"/>
      <w:bookmarkEnd w:id="0"/>
      <w:r w:rsidRPr="00507E23">
        <w:rPr>
          <w:rFonts w:ascii="Tahoma" w:hAnsi="Tahoma" w:cs="Tahoma"/>
          <w:color w:val="000000"/>
        </w:rPr>
        <w:t xml:space="preserve"> 2012. </w:t>
      </w:r>
    </w:p>
    <w:p w:rsidR="002C597C" w:rsidRDefault="002C597C">
      <w:pPr>
        <w:spacing w:before="0" w:after="0" w:line="240" w:lineRule="auto"/>
        <w:rPr>
          <w:caps/>
          <w:spacing w:val="15"/>
          <w:sz w:val="22"/>
          <w:szCs w:val="22"/>
        </w:rPr>
      </w:pPr>
      <w:r>
        <w:br w:type="page"/>
      </w:r>
    </w:p>
    <w:p w:rsidR="00854C29" w:rsidRPr="00DD657C" w:rsidRDefault="003871DA" w:rsidP="003D75C7">
      <w:pPr>
        <w:pStyle w:val="Heading2"/>
        <w:pBdr>
          <w:top w:val="single" w:sz="24" w:space="1" w:color="DBE5F1"/>
        </w:pBdr>
        <w:rPr>
          <w:spacing w:val="30"/>
        </w:rPr>
      </w:pPr>
      <w:r w:rsidRPr="00DD657C">
        <w:rPr>
          <w:spacing w:val="30"/>
        </w:rPr>
        <w:lastRenderedPageBreak/>
        <w:t>Household Income &amp; EXPENDITURE</w:t>
      </w:r>
    </w:p>
    <w:p w:rsidR="0093761F" w:rsidRPr="00507E23" w:rsidRDefault="0093761F" w:rsidP="0026175A">
      <w:pPr>
        <w:spacing w:before="120"/>
        <w:ind w:right="-62"/>
        <w:jc w:val="both"/>
        <w:rPr>
          <w:rFonts w:ascii="Tahoma" w:hAnsi="Tahoma" w:cs="Tahoma"/>
          <w:color w:val="000000"/>
        </w:rPr>
      </w:pPr>
      <w:r w:rsidRPr="00507E23">
        <w:rPr>
          <w:rFonts w:ascii="Tahoma" w:hAnsi="Tahoma" w:cs="Tahoma"/>
          <w:color w:val="000000"/>
        </w:rPr>
        <w:t>The household income and expenditure statistics from the HIES have a number of major uses including comparison with 2006 benchmarks; expenditure data is used to update the Consumer Price Index (CPI) items and relative expenditure weights; compiling official estimates of household sector production in the System of National Accounts and subsequent estimates of Gross Domestic Product (GDP); and to provide data for assessing the impact of existing and proposed economic and social policies and programmes, particularly those resulting in changes in household income and consumption; as well as to gather information for key poverty indicators and statistics for poverty analysis discussed above.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14"/>
        <w:gridCol w:w="1373"/>
        <w:gridCol w:w="1418"/>
        <w:gridCol w:w="1337"/>
      </w:tblGrid>
      <w:tr w:rsidR="008A6F4F" w:rsidRPr="00F32446" w:rsidTr="003F49F6">
        <w:trPr>
          <w:tblHeader/>
        </w:trPr>
        <w:tc>
          <w:tcPr>
            <w:tcW w:w="5114" w:type="dxa"/>
          </w:tcPr>
          <w:p w:rsidR="008A6F4F" w:rsidRPr="00F32446" w:rsidRDefault="008A6F4F" w:rsidP="0093761F">
            <w:pPr>
              <w:spacing w:before="120" w:after="0" w:line="240" w:lineRule="auto"/>
              <w:ind w:right="-62"/>
              <w:jc w:val="both"/>
              <w:rPr>
                <w:rFonts w:ascii="Tahoma" w:hAnsi="Tahoma" w:cs="Tahoma"/>
                <w:color w:val="000000"/>
              </w:rPr>
            </w:pPr>
          </w:p>
        </w:tc>
        <w:tc>
          <w:tcPr>
            <w:tcW w:w="1373" w:type="dxa"/>
            <w:vAlign w:val="bottom"/>
          </w:tcPr>
          <w:p w:rsidR="008A6F4F" w:rsidRPr="00F32446" w:rsidRDefault="008A6F4F" w:rsidP="008A6F4F">
            <w:pPr>
              <w:spacing w:before="120" w:after="0" w:line="240" w:lineRule="auto"/>
              <w:ind w:right="-62"/>
              <w:jc w:val="center"/>
              <w:rPr>
                <w:rFonts w:ascii="Tahoma" w:hAnsi="Tahoma" w:cs="Tahoma"/>
                <w:color w:val="000000"/>
              </w:rPr>
            </w:pPr>
            <w:r w:rsidRPr="00F32446">
              <w:rPr>
                <w:rFonts w:ascii="Tahoma" w:hAnsi="Tahoma" w:cs="Tahoma"/>
                <w:color w:val="000000"/>
              </w:rPr>
              <w:t xml:space="preserve">2006 </w:t>
            </w:r>
            <w:r w:rsidRPr="00F32446">
              <w:rPr>
                <w:rFonts w:ascii="Tahoma" w:hAnsi="Tahoma" w:cs="Tahoma"/>
                <w:color w:val="000000"/>
              </w:rPr>
              <w:br/>
              <w:t>(2010 Vt)</w:t>
            </w:r>
          </w:p>
        </w:tc>
        <w:tc>
          <w:tcPr>
            <w:tcW w:w="1418" w:type="dxa"/>
            <w:vAlign w:val="bottom"/>
          </w:tcPr>
          <w:p w:rsidR="008A6F4F" w:rsidRPr="00F32446" w:rsidRDefault="008A6F4F" w:rsidP="008A6F4F">
            <w:pPr>
              <w:spacing w:before="120" w:after="0" w:line="240" w:lineRule="auto"/>
              <w:ind w:right="-62"/>
              <w:jc w:val="center"/>
              <w:rPr>
                <w:rFonts w:ascii="Tahoma" w:hAnsi="Tahoma" w:cs="Tahoma"/>
                <w:color w:val="000000"/>
              </w:rPr>
            </w:pPr>
            <w:r w:rsidRPr="00F32446">
              <w:rPr>
                <w:rFonts w:ascii="Tahoma" w:hAnsi="Tahoma" w:cs="Tahoma"/>
                <w:color w:val="000000"/>
              </w:rPr>
              <w:t>2010</w:t>
            </w:r>
          </w:p>
        </w:tc>
        <w:tc>
          <w:tcPr>
            <w:tcW w:w="1337" w:type="dxa"/>
            <w:vAlign w:val="bottom"/>
          </w:tcPr>
          <w:p w:rsidR="008A6F4F" w:rsidRPr="00F32446" w:rsidRDefault="008A6F4F" w:rsidP="008A6F4F">
            <w:pPr>
              <w:spacing w:before="120" w:after="0" w:line="240" w:lineRule="auto"/>
              <w:ind w:right="-62"/>
              <w:jc w:val="center"/>
              <w:rPr>
                <w:rFonts w:ascii="Tahoma" w:hAnsi="Tahoma" w:cs="Tahoma"/>
                <w:color w:val="000000"/>
              </w:rPr>
            </w:pPr>
            <w:r w:rsidRPr="00F32446">
              <w:rPr>
                <w:rFonts w:ascii="Tahoma" w:hAnsi="Tahoma" w:cs="Tahoma"/>
                <w:color w:val="000000"/>
              </w:rPr>
              <w:t>% change</w:t>
            </w:r>
          </w:p>
        </w:tc>
      </w:tr>
      <w:tr w:rsidR="00066D92" w:rsidRPr="00F32446" w:rsidTr="00066D92">
        <w:tc>
          <w:tcPr>
            <w:tcW w:w="5114" w:type="dxa"/>
          </w:tcPr>
          <w:p w:rsidR="00066D92" w:rsidRPr="00F32446" w:rsidRDefault="00066D92" w:rsidP="00FA13A9">
            <w:pPr>
              <w:spacing w:before="60" w:after="60" w:line="240" w:lineRule="auto"/>
              <w:ind w:right="-62"/>
              <w:jc w:val="both"/>
              <w:rPr>
                <w:rFonts w:ascii="Tahoma" w:hAnsi="Tahoma" w:cs="Tahoma"/>
                <w:color w:val="365F91" w:themeColor="accent1" w:themeShade="BF"/>
              </w:rPr>
            </w:pPr>
            <w:r w:rsidRPr="00F32446">
              <w:rPr>
                <w:rFonts w:ascii="Tahoma" w:hAnsi="Tahoma" w:cs="Tahoma"/>
                <w:color w:val="365F91" w:themeColor="accent1" w:themeShade="BF"/>
              </w:rPr>
              <w:t>Average household monthly income</w:t>
            </w:r>
          </w:p>
        </w:tc>
        <w:tc>
          <w:tcPr>
            <w:tcW w:w="1373" w:type="dxa"/>
          </w:tcPr>
          <w:p w:rsidR="00066D92" w:rsidRPr="00F32446" w:rsidRDefault="00066D92" w:rsidP="00FA13A9">
            <w:pPr>
              <w:spacing w:before="60" w:after="60" w:line="240" w:lineRule="auto"/>
              <w:ind w:right="-62"/>
              <w:jc w:val="center"/>
              <w:rPr>
                <w:rFonts w:ascii="Tahoma" w:hAnsi="Tahoma" w:cs="Tahoma"/>
                <w:color w:val="365F91" w:themeColor="accent1" w:themeShade="BF"/>
              </w:rPr>
            </w:pPr>
            <w:r w:rsidRPr="00F32446">
              <w:rPr>
                <w:rFonts w:ascii="Tahoma" w:hAnsi="Tahoma" w:cs="Tahoma"/>
                <w:color w:val="365F91" w:themeColor="accent1" w:themeShade="BF"/>
              </w:rPr>
              <w:t>71,700</w:t>
            </w:r>
          </w:p>
        </w:tc>
        <w:tc>
          <w:tcPr>
            <w:tcW w:w="1418" w:type="dxa"/>
          </w:tcPr>
          <w:p w:rsidR="00066D92" w:rsidRPr="00F32446" w:rsidRDefault="00EB47EA" w:rsidP="00EB47EA">
            <w:pPr>
              <w:spacing w:before="60" w:after="60" w:line="240" w:lineRule="auto"/>
              <w:ind w:right="-62"/>
              <w:jc w:val="center"/>
              <w:rPr>
                <w:rFonts w:ascii="Tahoma" w:hAnsi="Tahoma" w:cs="Tahoma"/>
                <w:color w:val="365F91" w:themeColor="accent1" w:themeShade="BF"/>
              </w:rPr>
            </w:pPr>
            <w:r>
              <w:rPr>
                <w:rFonts w:ascii="Tahoma" w:hAnsi="Tahoma" w:cs="Tahoma"/>
                <w:color w:val="365F91" w:themeColor="accent1" w:themeShade="BF"/>
              </w:rPr>
              <w:t>83</w:t>
            </w:r>
            <w:r w:rsidR="00066D92" w:rsidRPr="00F32446">
              <w:rPr>
                <w:rFonts w:ascii="Tahoma" w:hAnsi="Tahoma" w:cs="Tahoma"/>
                <w:color w:val="365F91" w:themeColor="accent1" w:themeShade="BF"/>
              </w:rPr>
              <w:t>,</w:t>
            </w:r>
            <w:r>
              <w:rPr>
                <w:rFonts w:ascii="Tahoma" w:hAnsi="Tahoma" w:cs="Tahoma"/>
                <w:color w:val="365F91" w:themeColor="accent1" w:themeShade="BF"/>
              </w:rPr>
              <w:t>800</w:t>
            </w:r>
          </w:p>
        </w:tc>
        <w:tc>
          <w:tcPr>
            <w:tcW w:w="1337" w:type="dxa"/>
            <w:vAlign w:val="center"/>
          </w:tcPr>
          <w:p w:rsidR="00066D92" w:rsidRPr="00F32446" w:rsidRDefault="00EB47EA" w:rsidP="00066D92">
            <w:pPr>
              <w:spacing w:before="60" w:after="60" w:line="240" w:lineRule="auto"/>
              <w:ind w:right="-62"/>
              <w:jc w:val="center"/>
              <w:rPr>
                <w:rFonts w:ascii="Tahoma" w:hAnsi="Tahoma" w:cs="Tahoma"/>
                <w:color w:val="365F91" w:themeColor="accent1" w:themeShade="BF"/>
              </w:rPr>
            </w:pPr>
            <w:r>
              <w:rPr>
                <w:rFonts w:ascii="Tahoma" w:hAnsi="Tahoma" w:cs="Tahoma"/>
                <w:color w:val="365F91" w:themeColor="accent1" w:themeShade="BF"/>
              </w:rPr>
              <w:t>17</w:t>
            </w:r>
            <w:r w:rsidR="00066D92" w:rsidRPr="00F32446">
              <w:rPr>
                <w:rFonts w:ascii="Tahoma" w:hAnsi="Tahoma" w:cs="Tahoma"/>
                <w:color w:val="365F91" w:themeColor="accent1" w:themeShade="BF"/>
              </w:rPr>
              <w:t>%</w:t>
            </w:r>
          </w:p>
        </w:tc>
      </w:tr>
      <w:tr w:rsidR="00066D92" w:rsidRPr="00F32446" w:rsidTr="00066D92">
        <w:tc>
          <w:tcPr>
            <w:tcW w:w="5114" w:type="dxa"/>
          </w:tcPr>
          <w:p w:rsidR="00066D92" w:rsidRPr="00F32446" w:rsidRDefault="00066D92" w:rsidP="00FA13A9">
            <w:pPr>
              <w:spacing w:before="60" w:after="60" w:line="240" w:lineRule="auto"/>
              <w:ind w:right="-62"/>
              <w:jc w:val="both"/>
              <w:rPr>
                <w:rFonts w:ascii="Tahoma" w:hAnsi="Tahoma" w:cs="Tahoma"/>
                <w:color w:val="365F91" w:themeColor="accent1" w:themeShade="BF"/>
              </w:rPr>
            </w:pPr>
            <w:r w:rsidRPr="00F32446">
              <w:rPr>
                <w:rFonts w:ascii="Tahoma" w:hAnsi="Tahoma" w:cs="Tahoma"/>
                <w:color w:val="365F91" w:themeColor="accent1" w:themeShade="BF"/>
              </w:rPr>
              <w:t>Average household monthly expenditure</w:t>
            </w:r>
          </w:p>
        </w:tc>
        <w:tc>
          <w:tcPr>
            <w:tcW w:w="1373" w:type="dxa"/>
          </w:tcPr>
          <w:p w:rsidR="00066D92" w:rsidRPr="00F32446" w:rsidRDefault="00066D92" w:rsidP="00FA13A9">
            <w:pPr>
              <w:spacing w:before="60" w:after="60" w:line="240" w:lineRule="auto"/>
              <w:ind w:right="-62"/>
              <w:jc w:val="center"/>
              <w:rPr>
                <w:rFonts w:ascii="Tahoma" w:hAnsi="Tahoma" w:cs="Tahoma"/>
                <w:color w:val="365F91" w:themeColor="accent1" w:themeShade="BF"/>
              </w:rPr>
            </w:pPr>
            <w:r w:rsidRPr="00F32446">
              <w:rPr>
                <w:rFonts w:ascii="Tahoma" w:hAnsi="Tahoma" w:cs="Tahoma"/>
                <w:color w:val="365F91" w:themeColor="accent1" w:themeShade="BF"/>
              </w:rPr>
              <w:t>64,100</w:t>
            </w:r>
          </w:p>
        </w:tc>
        <w:tc>
          <w:tcPr>
            <w:tcW w:w="1418" w:type="dxa"/>
          </w:tcPr>
          <w:p w:rsidR="00066D92" w:rsidRPr="00F32446" w:rsidRDefault="00066D92" w:rsidP="00FA13A9">
            <w:pPr>
              <w:spacing w:before="60" w:after="60" w:line="240" w:lineRule="auto"/>
              <w:ind w:right="-62"/>
              <w:jc w:val="center"/>
              <w:rPr>
                <w:rFonts w:ascii="Tahoma" w:hAnsi="Tahoma" w:cs="Tahoma"/>
                <w:color w:val="365F91" w:themeColor="accent1" w:themeShade="BF"/>
              </w:rPr>
            </w:pPr>
            <w:r w:rsidRPr="00F32446">
              <w:rPr>
                <w:rFonts w:ascii="Tahoma" w:hAnsi="Tahoma" w:cs="Tahoma"/>
                <w:color w:val="365F91" w:themeColor="accent1" w:themeShade="BF"/>
              </w:rPr>
              <w:t>76,200</w:t>
            </w:r>
          </w:p>
        </w:tc>
        <w:tc>
          <w:tcPr>
            <w:tcW w:w="1337" w:type="dxa"/>
            <w:vAlign w:val="center"/>
          </w:tcPr>
          <w:p w:rsidR="00066D92" w:rsidRPr="00F32446" w:rsidRDefault="00066D92" w:rsidP="00066D92">
            <w:pPr>
              <w:spacing w:before="60" w:after="60" w:line="240" w:lineRule="auto"/>
              <w:ind w:right="-62"/>
              <w:jc w:val="center"/>
              <w:rPr>
                <w:rFonts w:ascii="Tahoma" w:hAnsi="Tahoma" w:cs="Tahoma"/>
                <w:color w:val="365F91" w:themeColor="accent1" w:themeShade="BF"/>
              </w:rPr>
            </w:pPr>
            <w:r w:rsidRPr="00F32446">
              <w:rPr>
                <w:rFonts w:ascii="Tahoma" w:hAnsi="Tahoma" w:cs="Tahoma"/>
                <w:color w:val="365F91" w:themeColor="accent1" w:themeShade="BF"/>
              </w:rPr>
              <w:t>19%</w:t>
            </w:r>
          </w:p>
        </w:tc>
      </w:tr>
      <w:tr w:rsidR="00066D92" w:rsidRPr="00F32446" w:rsidTr="00066D92">
        <w:tc>
          <w:tcPr>
            <w:tcW w:w="5114" w:type="dxa"/>
          </w:tcPr>
          <w:p w:rsidR="00066D92" w:rsidRPr="00F32446" w:rsidRDefault="00066D92" w:rsidP="00FA13A9">
            <w:pPr>
              <w:spacing w:before="60" w:after="60" w:line="240" w:lineRule="auto"/>
              <w:ind w:right="-62"/>
              <w:jc w:val="both"/>
              <w:rPr>
                <w:rFonts w:ascii="Tahoma" w:hAnsi="Tahoma" w:cs="Tahoma"/>
                <w:color w:val="365F91" w:themeColor="accent1" w:themeShade="BF"/>
              </w:rPr>
            </w:pPr>
            <w:r w:rsidRPr="00F32446">
              <w:rPr>
                <w:rFonts w:ascii="Tahoma" w:hAnsi="Tahoma" w:cs="Tahoma"/>
                <w:color w:val="365F91" w:themeColor="accent1" w:themeShade="BF"/>
              </w:rPr>
              <w:t>Average h’hold monthly income – urban</w:t>
            </w:r>
          </w:p>
        </w:tc>
        <w:tc>
          <w:tcPr>
            <w:tcW w:w="1373" w:type="dxa"/>
          </w:tcPr>
          <w:p w:rsidR="00066D92" w:rsidRPr="00F32446" w:rsidRDefault="00EB47EA" w:rsidP="00EB47EA">
            <w:pPr>
              <w:spacing w:before="60" w:after="60" w:line="240" w:lineRule="auto"/>
              <w:ind w:right="-62"/>
              <w:jc w:val="center"/>
              <w:rPr>
                <w:rFonts w:ascii="Tahoma" w:hAnsi="Tahoma" w:cs="Tahoma"/>
                <w:color w:val="365F91" w:themeColor="accent1" w:themeShade="BF"/>
              </w:rPr>
            </w:pPr>
            <w:r>
              <w:rPr>
                <w:rFonts w:ascii="Tahoma" w:hAnsi="Tahoma" w:cs="Tahoma"/>
                <w:color w:val="365F91" w:themeColor="accent1" w:themeShade="BF"/>
              </w:rPr>
              <w:t>101</w:t>
            </w:r>
            <w:r w:rsidR="00066D92" w:rsidRPr="00F32446">
              <w:rPr>
                <w:rFonts w:ascii="Tahoma" w:hAnsi="Tahoma" w:cs="Tahoma"/>
                <w:color w:val="365F91" w:themeColor="accent1" w:themeShade="BF"/>
              </w:rPr>
              <w:t>,</w:t>
            </w:r>
            <w:r>
              <w:rPr>
                <w:rFonts w:ascii="Tahoma" w:hAnsi="Tahoma" w:cs="Tahoma"/>
                <w:color w:val="365F91" w:themeColor="accent1" w:themeShade="BF"/>
              </w:rPr>
              <w:t>9</w:t>
            </w:r>
            <w:r w:rsidR="00066D92" w:rsidRPr="00F32446">
              <w:rPr>
                <w:rFonts w:ascii="Tahoma" w:hAnsi="Tahoma" w:cs="Tahoma"/>
                <w:color w:val="365F91" w:themeColor="accent1" w:themeShade="BF"/>
              </w:rPr>
              <w:t>00</w:t>
            </w:r>
          </w:p>
        </w:tc>
        <w:tc>
          <w:tcPr>
            <w:tcW w:w="1418" w:type="dxa"/>
          </w:tcPr>
          <w:p w:rsidR="00066D92" w:rsidRPr="00F32446" w:rsidRDefault="00EB47EA" w:rsidP="00EB47EA">
            <w:pPr>
              <w:spacing w:before="60" w:after="60" w:line="240" w:lineRule="auto"/>
              <w:ind w:right="-62"/>
              <w:jc w:val="center"/>
              <w:rPr>
                <w:rFonts w:ascii="Tahoma" w:hAnsi="Tahoma" w:cs="Tahoma"/>
                <w:color w:val="365F91" w:themeColor="accent1" w:themeShade="BF"/>
              </w:rPr>
            </w:pPr>
            <w:r>
              <w:rPr>
                <w:rFonts w:ascii="Tahoma" w:hAnsi="Tahoma" w:cs="Tahoma"/>
                <w:color w:val="365F91" w:themeColor="accent1" w:themeShade="BF"/>
              </w:rPr>
              <w:t>97</w:t>
            </w:r>
            <w:r w:rsidR="00066D92" w:rsidRPr="00F32446">
              <w:rPr>
                <w:rFonts w:ascii="Tahoma" w:hAnsi="Tahoma" w:cs="Tahoma"/>
                <w:color w:val="365F91" w:themeColor="accent1" w:themeShade="BF"/>
              </w:rPr>
              <w:t>,</w:t>
            </w:r>
            <w:r>
              <w:rPr>
                <w:rFonts w:ascii="Tahoma" w:hAnsi="Tahoma" w:cs="Tahoma"/>
                <w:color w:val="365F91" w:themeColor="accent1" w:themeShade="BF"/>
              </w:rPr>
              <w:t>500</w:t>
            </w:r>
          </w:p>
        </w:tc>
        <w:tc>
          <w:tcPr>
            <w:tcW w:w="1337" w:type="dxa"/>
            <w:vAlign w:val="center"/>
          </w:tcPr>
          <w:p w:rsidR="00066D92" w:rsidRPr="00F32446" w:rsidRDefault="00EB47EA" w:rsidP="00066D92">
            <w:pPr>
              <w:spacing w:before="60" w:after="60" w:line="240" w:lineRule="auto"/>
              <w:ind w:right="-62"/>
              <w:jc w:val="center"/>
              <w:rPr>
                <w:rFonts w:ascii="Tahoma" w:hAnsi="Tahoma" w:cs="Tahoma"/>
                <w:color w:val="365F91" w:themeColor="accent1" w:themeShade="BF"/>
              </w:rPr>
            </w:pPr>
            <w:r>
              <w:rPr>
                <w:rFonts w:ascii="Tahoma" w:hAnsi="Tahoma" w:cs="Tahoma"/>
                <w:color w:val="365F91" w:themeColor="accent1" w:themeShade="BF"/>
              </w:rPr>
              <w:t>-4</w:t>
            </w:r>
            <w:r w:rsidR="00066D92" w:rsidRPr="00F32446">
              <w:rPr>
                <w:rFonts w:ascii="Tahoma" w:hAnsi="Tahoma" w:cs="Tahoma"/>
                <w:color w:val="365F91" w:themeColor="accent1" w:themeShade="BF"/>
              </w:rPr>
              <w:t>%</w:t>
            </w:r>
          </w:p>
        </w:tc>
      </w:tr>
      <w:tr w:rsidR="00066D92" w:rsidRPr="00F32446" w:rsidTr="00066D92">
        <w:tc>
          <w:tcPr>
            <w:tcW w:w="5114" w:type="dxa"/>
          </w:tcPr>
          <w:p w:rsidR="00066D92" w:rsidRPr="00F32446" w:rsidRDefault="00066D92" w:rsidP="00FA13A9">
            <w:pPr>
              <w:spacing w:before="60" w:after="60" w:line="240" w:lineRule="auto"/>
              <w:ind w:right="-62"/>
              <w:jc w:val="both"/>
              <w:rPr>
                <w:rFonts w:ascii="Tahoma" w:hAnsi="Tahoma" w:cs="Tahoma"/>
                <w:color w:val="365F91" w:themeColor="accent1" w:themeShade="BF"/>
              </w:rPr>
            </w:pPr>
            <w:r w:rsidRPr="00F32446">
              <w:rPr>
                <w:rFonts w:ascii="Tahoma" w:hAnsi="Tahoma" w:cs="Tahoma"/>
                <w:color w:val="365F91" w:themeColor="accent1" w:themeShade="BF"/>
              </w:rPr>
              <w:t xml:space="preserve">Average h’hold monthly income – rural </w:t>
            </w:r>
          </w:p>
        </w:tc>
        <w:tc>
          <w:tcPr>
            <w:tcW w:w="1373" w:type="dxa"/>
          </w:tcPr>
          <w:p w:rsidR="00066D92" w:rsidRPr="00F32446" w:rsidRDefault="00EB47EA" w:rsidP="00EB47EA">
            <w:pPr>
              <w:spacing w:before="60" w:after="60" w:line="240" w:lineRule="auto"/>
              <w:ind w:right="-62"/>
              <w:jc w:val="center"/>
              <w:rPr>
                <w:rFonts w:ascii="Tahoma" w:hAnsi="Tahoma" w:cs="Tahoma"/>
                <w:color w:val="365F91" w:themeColor="accent1" w:themeShade="BF"/>
              </w:rPr>
            </w:pPr>
            <w:r>
              <w:rPr>
                <w:rFonts w:ascii="Tahoma" w:hAnsi="Tahoma" w:cs="Tahoma"/>
                <w:color w:val="365F91" w:themeColor="accent1" w:themeShade="BF"/>
              </w:rPr>
              <w:t>63</w:t>
            </w:r>
            <w:r w:rsidR="00066D92" w:rsidRPr="00F32446">
              <w:rPr>
                <w:rFonts w:ascii="Tahoma" w:hAnsi="Tahoma" w:cs="Tahoma"/>
                <w:color w:val="365F91" w:themeColor="accent1" w:themeShade="BF"/>
              </w:rPr>
              <w:t>,</w:t>
            </w:r>
            <w:r>
              <w:rPr>
                <w:rFonts w:ascii="Tahoma" w:hAnsi="Tahoma" w:cs="Tahoma"/>
                <w:color w:val="365F91" w:themeColor="accent1" w:themeShade="BF"/>
              </w:rPr>
              <w:t>200</w:t>
            </w:r>
          </w:p>
        </w:tc>
        <w:tc>
          <w:tcPr>
            <w:tcW w:w="1418" w:type="dxa"/>
          </w:tcPr>
          <w:p w:rsidR="00066D92" w:rsidRPr="00F32446" w:rsidRDefault="00EB47EA" w:rsidP="00EB47EA">
            <w:pPr>
              <w:spacing w:before="60" w:after="60" w:line="240" w:lineRule="auto"/>
              <w:ind w:right="-62"/>
              <w:jc w:val="center"/>
              <w:rPr>
                <w:rFonts w:ascii="Tahoma" w:hAnsi="Tahoma" w:cs="Tahoma"/>
                <w:color w:val="365F91" w:themeColor="accent1" w:themeShade="BF"/>
              </w:rPr>
            </w:pPr>
            <w:r>
              <w:rPr>
                <w:rFonts w:ascii="Tahoma" w:hAnsi="Tahoma" w:cs="Tahoma"/>
                <w:color w:val="365F91" w:themeColor="accent1" w:themeShade="BF"/>
              </w:rPr>
              <w:t>79</w:t>
            </w:r>
            <w:r w:rsidR="00066D92" w:rsidRPr="00F32446">
              <w:rPr>
                <w:rFonts w:ascii="Tahoma" w:hAnsi="Tahoma" w:cs="Tahoma"/>
                <w:color w:val="365F91" w:themeColor="accent1" w:themeShade="BF"/>
              </w:rPr>
              <w:t>,</w:t>
            </w:r>
            <w:r>
              <w:rPr>
                <w:rFonts w:ascii="Tahoma" w:hAnsi="Tahoma" w:cs="Tahoma"/>
                <w:color w:val="365F91" w:themeColor="accent1" w:themeShade="BF"/>
              </w:rPr>
              <w:t>500</w:t>
            </w:r>
          </w:p>
        </w:tc>
        <w:tc>
          <w:tcPr>
            <w:tcW w:w="1337" w:type="dxa"/>
            <w:vAlign w:val="center"/>
          </w:tcPr>
          <w:p w:rsidR="00066D92" w:rsidRPr="00F32446" w:rsidRDefault="00EB47EA" w:rsidP="00066D92">
            <w:pPr>
              <w:spacing w:before="60" w:after="60" w:line="240" w:lineRule="auto"/>
              <w:ind w:right="-62"/>
              <w:jc w:val="center"/>
              <w:rPr>
                <w:rFonts w:ascii="Tahoma" w:hAnsi="Tahoma" w:cs="Tahoma"/>
                <w:color w:val="365F91" w:themeColor="accent1" w:themeShade="BF"/>
              </w:rPr>
            </w:pPr>
            <w:r>
              <w:rPr>
                <w:rFonts w:ascii="Tahoma" w:hAnsi="Tahoma" w:cs="Tahoma"/>
                <w:color w:val="365F91" w:themeColor="accent1" w:themeShade="BF"/>
              </w:rPr>
              <w:t>26</w:t>
            </w:r>
            <w:r w:rsidR="00066D92" w:rsidRPr="00F32446">
              <w:rPr>
                <w:rFonts w:ascii="Tahoma" w:hAnsi="Tahoma" w:cs="Tahoma"/>
                <w:color w:val="365F91" w:themeColor="accent1" w:themeShade="BF"/>
              </w:rPr>
              <w:t>%</w:t>
            </w:r>
          </w:p>
        </w:tc>
      </w:tr>
      <w:tr w:rsidR="00066D92" w:rsidRPr="00F32446" w:rsidTr="00066D92">
        <w:tc>
          <w:tcPr>
            <w:tcW w:w="5114" w:type="dxa"/>
          </w:tcPr>
          <w:p w:rsidR="00066D92" w:rsidRPr="00F32446" w:rsidRDefault="00066D92" w:rsidP="00FA13A9">
            <w:pPr>
              <w:spacing w:before="60" w:after="60" w:line="240" w:lineRule="auto"/>
              <w:ind w:right="-62"/>
              <w:jc w:val="both"/>
              <w:rPr>
                <w:rFonts w:ascii="Tahoma" w:hAnsi="Tahoma" w:cs="Tahoma"/>
                <w:color w:val="365F91" w:themeColor="accent1" w:themeShade="BF"/>
              </w:rPr>
            </w:pPr>
            <w:r w:rsidRPr="00F32446">
              <w:rPr>
                <w:rFonts w:ascii="Tahoma" w:hAnsi="Tahoma" w:cs="Tahoma"/>
                <w:color w:val="365F91" w:themeColor="accent1" w:themeShade="BF"/>
              </w:rPr>
              <w:t>Average h’hold monthly expenditure – urban</w:t>
            </w:r>
          </w:p>
        </w:tc>
        <w:tc>
          <w:tcPr>
            <w:tcW w:w="1373" w:type="dxa"/>
          </w:tcPr>
          <w:p w:rsidR="00066D92" w:rsidRPr="00F32446" w:rsidRDefault="00066D92" w:rsidP="004A10AD">
            <w:pPr>
              <w:spacing w:before="60" w:after="60" w:line="240" w:lineRule="auto"/>
              <w:ind w:right="-62"/>
              <w:jc w:val="center"/>
              <w:rPr>
                <w:rFonts w:ascii="Tahoma" w:hAnsi="Tahoma" w:cs="Tahoma"/>
                <w:color w:val="365F91" w:themeColor="accent1" w:themeShade="BF"/>
              </w:rPr>
            </w:pPr>
            <w:r w:rsidRPr="00F32446">
              <w:rPr>
                <w:rFonts w:ascii="Tahoma" w:hAnsi="Tahoma" w:cs="Tahoma"/>
                <w:color w:val="365F91" w:themeColor="accent1" w:themeShade="BF"/>
              </w:rPr>
              <w:t>91,</w:t>
            </w:r>
            <w:r w:rsidR="004A10AD" w:rsidRPr="00F32446">
              <w:rPr>
                <w:rFonts w:ascii="Tahoma" w:hAnsi="Tahoma" w:cs="Tahoma"/>
                <w:color w:val="365F91" w:themeColor="accent1" w:themeShade="BF"/>
              </w:rPr>
              <w:t>7</w:t>
            </w:r>
            <w:r w:rsidRPr="00F32446">
              <w:rPr>
                <w:rFonts w:ascii="Tahoma" w:hAnsi="Tahoma" w:cs="Tahoma"/>
                <w:color w:val="365F91" w:themeColor="accent1" w:themeShade="BF"/>
              </w:rPr>
              <w:t>00</w:t>
            </w:r>
          </w:p>
        </w:tc>
        <w:tc>
          <w:tcPr>
            <w:tcW w:w="1418" w:type="dxa"/>
          </w:tcPr>
          <w:p w:rsidR="00066D92" w:rsidRPr="00F32446" w:rsidRDefault="00066D92" w:rsidP="00FA13A9">
            <w:pPr>
              <w:spacing w:before="60" w:after="60" w:line="240" w:lineRule="auto"/>
              <w:ind w:right="-62"/>
              <w:jc w:val="center"/>
              <w:rPr>
                <w:rFonts w:ascii="Tahoma" w:hAnsi="Tahoma" w:cs="Tahoma"/>
                <w:color w:val="365F91" w:themeColor="accent1" w:themeShade="BF"/>
              </w:rPr>
            </w:pPr>
            <w:r w:rsidRPr="00F32446">
              <w:rPr>
                <w:rFonts w:ascii="Tahoma" w:hAnsi="Tahoma" w:cs="Tahoma"/>
                <w:color w:val="365F91" w:themeColor="accent1" w:themeShade="BF"/>
              </w:rPr>
              <w:t>97,300</w:t>
            </w:r>
          </w:p>
        </w:tc>
        <w:tc>
          <w:tcPr>
            <w:tcW w:w="1337" w:type="dxa"/>
            <w:vAlign w:val="center"/>
          </w:tcPr>
          <w:p w:rsidR="00066D92" w:rsidRPr="00F32446" w:rsidRDefault="00066D92" w:rsidP="00066D92">
            <w:pPr>
              <w:spacing w:before="60" w:after="60" w:line="240" w:lineRule="auto"/>
              <w:ind w:right="-62"/>
              <w:jc w:val="center"/>
              <w:rPr>
                <w:rFonts w:ascii="Tahoma" w:hAnsi="Tahoma" w:cs="Tahoma"/>
                <w:color w:val="365F91" w:themeColor="accent1" w:themeShade="BF"/>
              </w:rPr>
            </w:pPr>
            <w:r w:rsidRPr="00F32446">
              <w:rPr>
                <w:rFonts w:ascii="Tahoma" w:hAnsi="Tahoma" w:cs="Tahoma"/>
                <w:color w:val="365F91" w:themeColor="accent1" w:themeShade="BF"/>
              </w:rPr>
              <w:t>6%</w:t>
            </w:r>
          </w:p>
        </w:tc>
      </w:tr>
      <w:tr w:rsidR="00066D92" w:rsidRPr="00F32446" w:rsidTr="00066D92">
        <w:tc>
          <w:tcPr>
            <w:tcW w:w="5114" w:type="dxa"/>
          </w:tcPr>
          <w:p w:rsidR="00066D92" w:rsidRPr="00F32446" w:rsidRDefault="00066D92" w:rsidP="00FA13A9">
            <w:pPr>
              <w:spacing w:before="60" w:after="60" w:line="240" w:lineRule="auto"/>
              <w:ind w:right="-62"/>
              <w:jc w:val="both"/>
              <w:rPr>
                <w:rFonts w:ascii="Tahoma" w:hAnsi="Tahoma" w:cs="Tahoma"/>
                <w:color w:val="365F91" w:themeColor="accent1" w:themeShade="BF"/>
              </w:rPr>
            </w:pPr>
            <w:r w:rsidRPr="00F32446">
              <w:rPr>
                <w:rFonts w:ascii="Tahoma" w:hAnsi="Tahoma" w:cs="Tahoma"/>
                <w:color w:val="365F91" w:themeColor="accent1" w:themeShade="BF"/>
              </w:rPr>
              <w:t>Average h’hold monthly expenditure – rural</w:t>
            </w:r>
          </w:p>
        </w:tc>
        <w:tc>
          <w:tcPr>
            <w:tcW w:w="1373" w:type="dxa"/>
          </w:tcPr>
          <w:p w:rsidR="00066D92" w:rsidRPr="00F32446" w:rsidRDefault="00066D92" w:rsidP="00FA13A9">
            <w:pPr>
              <w:spacing w:before="60" w:after="60" w:line="240" w:lineRule="auto"/>
              <w:ind w:right="-62"/>
              <w:jc w:val="center"/>
              <w:rPr>
                <w:rFonts w:ascii="Tahoma" w:hAnsi="Tahoma" w:cs="Tahoma"/>
                <w:color w:val="365F91" w:themeColor="accent1" w:themeShade="BF"/>
              </w:rPr>
            </w:pPr>
            <w:r w:rsidRPr="00F32446">
              <w:rPr>
                <w:rFonts w:ascii="Tahoma" w:hAnsi="Tahoma" w:cs="Tahoma"/>
                <w:color w:val="365F91" w:themeColor="accent1" w:themeShade="BF"/>
              </w:rPr>
              <w:t>52,500</w:t>
            </w:r>
          </w:p>
        </w:tc>
        <w:tc>
          <w:tcPr>
            <w:tcW w:w="1418" w:type="dxa"/>
          </w:tcPr>
          <w:p w:rsidR="00066D92" w:rsidRPr="00F32446" w:rsidRDefault="00066D92" w:rsidP="00FA13A9">
            <w:pPr>
              <w:spacing w:before="60" w:after="60" w:line="240" w:lineRule="auto"/>
              <w:ind w:right="-62"/>
              <w:jc w:val="center"/>
              <w:rPr>
                <w:rFonts w:ascii="Tahoma" w:hAnsi="Tahoma" w:cs="Tahoma"/>
                <w:color w:val="365F91" w:themeColor="accent1" w:themeShade="BF"/>
              </w:rPr>
            </w:pPr>
            <w:r w:rsidRPr="00F32446">
              <w:rPr>
                <w:rFonts w:ascii="Tahoma" w:hAnsi="Tahoma" w:cs="Tahoma"/>
                <w:color w:val="365F91" w:themeColor="accent1" w:themeShade="BF"/>
              </w:rPr>
              <w:t>69,300</w:t>
            </w:r>
          </w:p>
        </w:tc>
        <w:tc>
          <w:tcPr>
            <w:tcW w:w="1337" w:type="dxa"/>
            <w:vAlign w:val="center"/>
          </w:tcPr>
          <w:p w:rsidR="00066D92" w:rsidRPr="00F32446" w:rsidRDefault="00066D92" w:rsidP="00066D92">
            <w:pPr>
              <w:spacing w:before="60" w:after="60" w:line="240" w:lineRule="auto"/>
              <w:ind w:right="-62"/>
              <w:jc w:val="center"/>
              <w:rPr>
                <w:rFonts w:ascii="Tahoma" w:hAnsi="Tahoma" w:cs="Tahoma"/>
                <w:color w:val="365F91" w:themeColor="accent1" w:themeShade="BF"/>
              </w:rPr>
            </w:pPr>
            <w:r w:rsidRPr="00F32446">
              <w:rPr>
                <w:rFonts w:ascii="Tahoma" w:hAnsi="Tahoma" w:cs="Tahoma"/>
                <w:color w:val="365F91" w:themeColor="accent1" w:themeShade="BF"/>
              </w:rPr>
              <w:t>32%</w:t>
            </w:r>
          </w:p>
        </w:tc>
      </w:tr>
    </w:tbl>
    <w:p w:rsidR="008A6F4F" w:rsidRPr="00490847" w:rsidRDefault="004D4DD4" w:rsidP="0026175A">
      <w:pPr>
        <w:spacing w:before="120"/>
        <w:ind w:right="-62"/>
        <w:jc w:val="both"/>
        <w:rPr>
          <w:rFonts w:ascii="Tahoma" w:hAnsi="Tahoma" w:cs="Tahoma"/>
          <w:color w:val="000000"/>
        </w:rPr>
      </w:pPr>
      <w:r w:rsidRPr="00490847">
        <w:rPr>
          <w:rFonts w:ascii="Tahoma" w:hAnsi="Tahoma" w:cs="Tahoma"/>
          <w:color w:val="000000"/>
        </w:rPr>
        <w:t>Overall there was an increase in both average monthly income and expenditure</w:t>
      </w:r>
      <w:r w:rsidR="00FA13A9" w:rsidRPr="00490847">
        <w:rPr>
          <w:rFonts w:ascii="Tahoma" w:hAnsi="Tahoma" w:cs="Tahoma"/>
          <w:color w:val="000000"/>
        </w:rPr>
        <w:t xml:space="preserve"> in 2010 compared with 2006</w:t>
      </w:r>
      <w:r w:rsidRPr="00490847">
        <w:rPr>
          <w:rFonts w:ascii="Tahoma" w:hAnsi="Tahoma" w:cs="Tahoma"/>
          <w:color w:val="000000"/>
        </w:rPr>
        <w:t>. Compared with the 2006 HIES</w:t>
      </w:r>
      <w:r w:rsidRPr="00490847">
        <w:rPr>
          <w:rStyle w:val="EndnoteReference"/>
          <w:rFonts w:ascii="Tahoma" w:hAnsi="Tahoma" w:cs="Tahoma"/>
          <w:color w:val="000000"/>
        </w:rPr>
        <w:endnoteReference w:id="1"/>
      </w:r>
      <w:r w:rsidRPr="00490847">
        <w:rPr>
          <w:rFonts w:ascii="Tahoma" w:hAnsi="Tahoma" w:cs="Tahoma"/>
          <w:color w:val="000000"/>
        </w:rPr>
        <w:t xml:space="preserve"> there was a </w:t>
      </w:r>
      <w:r w:rsidR="00EB47EA" w:rsidRPr="00490847">
        <w:rPr>
          <w:rFonts w:ascii="Tahoma" w:hAnsi="Tahoma" w:cs="Tahoma"/>
          <w:b/>
          <w:color w:val="365F91" w:themeColor="accent1" w:themeShade="BF"/>
        </w:rPr>
        <w:t>17</w:t>
      </w:r>
      <w:r w:rsidRPr="00490847">
        <w:rPr>
          <w:rFonts w:ascii="Tahoma" w:hAnsi="Tahoma" w:cs="Tahoma"/>
          <w:b/>
          <w:color w:val="365F91" w:themeColor="accent1" w:themeShade="BF"/>
        </w:rPr>
        <w:t>% increase in average household income</w:t>
      </w:r>
      <w:r w:rsidRPr="00490847">
        <w:rPr>
          <w:rFonts w:ascii="Tahoma" w:hAnsi="Tahoma" w:cs="Tahoma"/>
          <w:color w:val="365F91" w:themeColor="accent1" w:themeShade="BF"/>
        </w:rPr>
        <w:t xml:space="preserve"> </w:t>
      </w:r>
      <w:r w:rsidRPr="00490847">
        <w:rPr>
          <w:rFonts w:ascii="Tahoma" w:hAnsi="Tahoma" w:cs="Tahoma"/>
          <w:color w:val="000000"/>
        </w:rPr>
        <w:t xml:space="preserve">at the national level, increasing from Vt 71,700 per month to Vt </w:t>
      </w:r>
      <w:r w:rsidR="00EB47EA" w:rsidRPr="00490847">
        <w:rPr>
          <w:rFonts w:ascii="Tahoma" w:hAnsi="Tahoma" w:cs="Tahoma"/>
          <w:color w:val="000000"/>
        </w:rPr>
        <w:t>83</w:t>
      </w:r>
      <w:r w:rsidR="006E763E" w:rsidRPr="00490847">
        <w:rPr>
          <w:rFonts w:ascii="Tahoma" w:hAnsi="Tahoma" w:cs="Tahoma"/>
          <w:color w:val="000000"/>
        </w:rPr>
        <w:t>,</w:t>
      </w:r>
      <w:r w:rsidR="00EB47EA" w:rsidRPr="00490847">
        <w:rPr>
          <w:rFonts w:ascii="Tahoma" w:hAnsi="Tahoma" w:cs="Tahoma"/>
          <w:color w:val="000000"/>
        </w:rPr>
        <w:t>8</w:t>
      </w:r>
      <w:r w:rsidRPr="00490847">
        <w:rPr>
          <w:rFonts w:ascii="Tahoma" w:hAnsi="Tahoma" w:cs="Tahoma"/>
          <w:color w:val="000000"/>
        </w:rPr>
        <w:t xml:space="preserve">00 per month. </w:t>
      </w:r>
      <w:r w:rsidR="008A6F4F" w:rsidRPr="00490847">
        <w:rPr>
          <w:rFonts w:ascii="Tahoma" w:hAnsi="Tahoma" w:cs="Tahoma"/>
          <w:color w:val="000000"/>
        </w:rPr>
        <w:t xml:space="preserve">Between 2006 and 2010 there were </w:t>
      </w:r>
      <w:r w:rsidR="008A6F4F" w:rsidRPr="00490847">
        <w:rPr>
          <w:rFonts w:ascii="Tahoma" w:hAnsi="Tahoma" w:cs="Tahoma"/>
          <w:b/>
          <w:color w:val="365F91" w:themeColor="accent1" w:themeShade="BF"/>
        </w:rPr>
        <w:t>large increases in average household income in Torba, rural Shefa and Sanma</w:t>
      </w:r>
      <w:r w:rsidR="00FB61CD" w:rsidRPr="00490847">
        <w:rPr>
          <w:rFonts w:ascii="Tahoma" w:hAnsi="Tahoma" w:cs="Tahoma"/>
          <w:b/>
          <w:color w:val="365F91" w:themeColor="accent1" w:themeShade="BF"/>
        </w:rPr>
        <w:t xml:space="preserve"> </w:t>
      </w:r>
      <w:r w:rsidR="00EB47EA" w:rsidRPr="00490847">
        <w:rPr>
          <w:rFonts w:ascii="Tahoma" w:hAnsi="Tahoma" w:cs="Tahoma"/>
          <w:b/>
          <w:color w:val="365F91" w:themeColor="accent1" w:themeShade="BF"/>
        </w:rPr>
        <w:t xml:space="preserve">with decreases </w:t>
      </w:r>
      <w:r w:rsidR="00FB61CD" w:rsidRPr="00490847">
        <w:rPr>
          <w:rFonts w:ascii="Tahoma" w:hAnsi="Tahoma" w:cs="Tahoma"/>
          <w:b/>
          <w:color w:val="365F91" w:themeColor="accent1" w:themeShade="BF"/>
        </w:rPr>
        <w:t>in Port Vila and Luganville</w:t>
      </w:r>
      <w:r w:rsidR="008A6F4F" w:rsidRPr="00490847">
        <w:rPr>
          <w:rFonts w:ascii="Tahoma" w:hAnsi="Tahoma" w:cs="Tahoma"/>
          <w:color w:val="000000"/>
        </w:rPr>
        <w:t xml:space="preserve">. </w:t>
      </w:r>
    </w:p>
    <w:p w:rsidR="00603B86" w:rsidRPr="00603B86" w:rsidRDefault="00603B86" w:rsidP="00603B86">
      <w:pPr>
        <w:pStyle w:val="Caption"/>
      </w:pPr>
      <w:bookmarkStart w:id="1" w:name="_Toc227462015"/>
      <w:r w:rsidRPr="00603B86">
        <w:t xml:space="preserve">Figure </w:t>
      </w:r>
      <w:r w:rsidRPr="00603B86">
        <w:fldChar w:fldCharType="begin"/>
      </w:r>
      <w:r w:rsidRPr="00603B86">
        <w:instrText xml:space="preserve"> SEQ Figure \* ARABIC \s 1 </w:instrText>
      </w:r>
      <w:r w:rsidRPr="00603B86">
        <w:fldChar w:fldCharType="separate"/>
      </w:r>
      <w:r w:rsidR="00FC4ABF">
        <w:rPr>
          <w:noProof/>
        </w:rPr>
        <w:t>1</w:t>
      </w:r>
      <w:r w:rsidRPr="00603B86">
        <w:fldChar w:fldCharType="end"/>
      </w:r>
      <w:r w:rsidRPr="00603B86">
        <w:t xml:space="preserve"> Source of household income, 2010 HIES</w:t>
      </w:r>
      <w:bookmarkEnd w:id="1"/>
    </w:p>
    <w:p w:rsidR="00603B86" w:rsidRDefault="00ED105B" w:rsidP="00603B86">
      <w:pPr>
        <w:jc w:val="center"/>
      </w:pPr>
      <w:r>
        <w:rPr>
          <w:noProof/>
          <w:lang w:eastAsia="en-NZ"/>
        </w:rPr>
        <w:drawing>
          <wp:inline distT="0" distB="0" distL="0" distR="0" wp14:anchorId="62CFE48B" wp14:editId="5C7FA57A">
            <wp:extent cx="3543300" cy="19431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603B86" w:rsidRPr="00507E23" w:rsidRDefault="00603B86" w:rsidP="00603B86">
      <w:pPr>
        <w:spacing w:before="0"/>
        <w:ind w:left="426" w:right="-62"/>
        <w:jc w:val="both"/>
        <w:rPr>
          <w:rFonts w:ascii="Tahoma" w:hAnsi="Tahoma" w:cs="Tahoma"/>
          <w:i/>
          <w:color w:val="000000"/>
          <w:sz w:val="16"/>
        </w:rPr>
      </w:pPr>
      <w:r w:rsidRPr="00507E23">
        <w:rPr>
          <w:rFonts w:ascii="Tahoma" w:hAnsi="Tahoma" w:cs="Tahoma"/>
          <w:i/>
          <w:color w:val="000000"/>
          <w:sz w:val="16"/>
        </w:rPr>
        <w:t>Source: VNSO HIES 2010</w:t>
      </w:r>
    </w:p>
    <w:p w:rsidR="00603B86" w:rsidRDefault="00603B86" w:rsidP="0026175A">
      <w:pPr>
        <w:spacing w:before="120"/>
        <w:ind w:right="-62"/>
        <w:jc w:val="both"/>
        <w:rPr>
          <w:rFonts w:ascii="Tahoma" w:hAnsi="Tahoma" w:cs="Tahoma"/>
          <w:color w:val="000000"/>
          <w:szCs w:val="18"/>
        </w:rPr>
      </w:pPr>
      <w:r>
        <w:rPr>
          <w:rFonts w:ascii="Tahoma" w:hAnsi="Tahoma" w:cs="Tahoma"/>
          <w:color w:val="000000"/>
          <w:szCs w:val="18"/>
        </w:rPr>
        <w:t xml:space="preserve">Households provided over half of their own income, 57%, through their businesses in agriculture, fishing and forestry, small home-based enterprises like bakeries, making and selling handicrafts or through the consumption of home produced food – so called ‘subsistence’. </w:t>
      </w:r>
    </w:p>
    <w:p w:rsidR="00A9669C" w:rsidRPr="00507E23" w:rsidRDefault="008A6F4F" w:rsidP="0026175A">
      <w:pPr>
        <w:spacing w:before="120"/>
        <w:ind w:right="-62"/>
        <w:jc w:val="both"/>
        <w:rPr>
          <w:rFonts w:ascii="Tahoma" w:hAnsi="Tahoma" w:cs="Tahoma"/>
          <w:color w:val="000000"/>
          <w:szCs w:val="18"/>
        </w:rPr>
      </w:pPr>
      <w:r w:rsidRPr="00507E23">
        <w:rPr>
          <w:rFonts w:ascii="Tahoma" w:hAnsi="Tahoma" w:cs="Tahoma"/>
          <w:color w:val="000000"/>
          <w:szCs w:val="18"/>
        </w:rPr>
        <w:t>It is very hard to accurately measure household income in statistical surveys because some income is irregular and many people cannot provide</w:t>
      </w:r>
      <w:r w:rsidR="00FA13A9">
        <w:rPr>
          <w:rFonts w:ascii="Tahoma" w:hAnsi="Tahoma" w:cs="Tahoma"/>
          <w:color w:val="000000"/>
          <w:szCs w:val="18"/>
        </w:rPr>
        <w:t xml:space="preserve"> accurate</w:t>
      </w:r>
      <w:r w:rsidRPr="00507E23">
        <w:rPr>
          <w:rFonts w:ascii="Tahoma" w:hAnsi="Tahoma" w:cs="Tahoma"/>
          <w:color w:val="000000"/>
          <w:szCs w:val="18"/>
        </w:rPr>
        <w:t xml:space="preserve"> information about wages and salaries or drawings </w:t>
      </w:r>
      <w:r w:rsidR="00F32446">
        <w:rPr>
          <w:rFonts w:ascii="Tahoma" w:hAnsi="Tahoma" w:cs="Tahoma"/>
          <w:color w:val="000000"/>
          <w:szCs w:val="18"/>
        </w:rPr>
        <w:t>and</w:t>
      </w:r>
      <w:r w:rsidRPr="00507E23">
        <w:rPr>
          <w:rFonts w:ascii="Tahoma" w:hAnsi="Tahoma" w:cs="Tahoma"/>
          <w:color w:val="000000"/>
          <w:szCs w:val="18"/>
        </w:rPr>
        <w:t xml:space="preserve"> profits. To get around this problem analysts assume that household expenditure equates to household incomes as expenditure, or consumption, reflects the income that households have to spend. This means that any savings are assumed to be minimal. Most analysis done by the VNSO </w:t>
      </w:r>
      <w:r w:rsidR="00FA13A9">
        <w:rPr>
          <w:rFonts w:ascii="Tahoma" w:hAnsi="Tahoma" w:cs="Tahoma"/>
          <w:color w:val="000000"/>
          <w:szCs w:val="18"/>
        </w:rPr>
        <w:t>focuses</w:t>
      </w:r>
      <w:r w:rsidRPr="00507E23">
        <w:rPr>
          <w:rFonts w:ascii="Tahoma" w:hAnsi="Tahoma" w:cs="Tahoma"/>
          <w:color w:val="000000"/>
          <w:szCs w:val="18"/>
        </w:rPr>
        <w:t xml:space="preserve"> on expenditure for this reason, and </w:t>
      </w:r>
      <w:r w:rsidRPr="00507E23">
        <w:rPr>
          <w:rFonts w:ascii="Tahoma" w:hAnsi="Tahoma" w:cs="Tahoma"/>
          <w:color w:val="000000"/>
          <w:szCs w:val="18"/>
        </w:rPr>
        <w:lastRenderedPageBreak/>
        <w:t xml:space="preserve">checking of income </w:t>
      </w:r>
      <w:r w:rsidR="00FA13A9">
        <w:rPr>
          <w:rFonts w:ascii="Tahoma" w:hAnsi="Tahoma" w:cs="Tahoma"/>
          <w:color w:val="000000"/>
          <w:szCs w:val="18"/>
        </w:rPr>
        <w:t xml:space="preserve">data </w:t>
      </w:r>
      <w:r w:rsidRPr="00507E23">
        <w:rPr>
          <w:rFonts w:ascii="Tahoma" w:hAnsi="Tahoma" w:cs="Tahoma"/>
          <w:color w:val="000000"/>
          <w:szCs w:val="18"/>
        </w:rPr>
        <w:t xml:space="preserve">from both the 2006 and 2010 surveys show that the </w:t>
      </w:r>
      <w:r w:rsidR="00FB61CD" w:rsidRPr="00507E23">
        <w:rPr>
          <w:rFonts w:ascii="Tahoma" w:hAnsi="Tahoma" w:cs="Tahoma"/>
          <w:color w:val="000000"/>
          <w:szCs w:val="18"/>
        </w:rPr>
        <w:t xml:space="preserve">income </w:t>
      </w:r>
      <w:r w:rsidRPr="00507E23">
        <w:rPr>
          <w:rFonts w:ascii="Tahoma" w:hAnsi="Tahoma" w:cs="Tahoma"/>
          <w:color w:val="000000"/>
          <w:szCs w:val="18"/>
        </w:rPr>
        <w:t xml:space="preserve">data is prone to respondent error. </w:t>
      </w:r>
    </w:p>
    <w:p w:rsidR="004D4DD4" w:rsidRDefault="004D4DD4" w:rsidP="0026175A">
      <w:pPr>
        <w:spacing w:before="120"/>
        <w:ind w:right="-62"/>
        <w:jc w:val="both"/>
        <w:rPr>
          <w:rFonts w:ascii="Tahoma" w:hAnsi="Tahoma" w:cs="Tahoma"/>
          <w:color w:val="000000"/>
          <w:szCs w:val="18"/>
        </w:rPr>
      </w:pPr>
      <w:r w:rsidRPr="00507E23">
        <w:rPr>
          <w:rFonts w:ascii="Tahoma" w:hAnsi="Tahoma" w:cs="Tahoma"/>
          <w:color w:val="000000"/>
          <w:szCs w:val="18"/>
        </w:rPr>
        <w:t xml:space="preserve">Compared with the 2006 HIES there was a </w:t>
      </w:r>
      <w:r w:rsidRPr="00507E23">
        <w:rPr>
          <w:rFonts w:ascii="Tahoma" w:hAnsi="Tahoma" w:cs="Tahoma"/>
          <w:b/>
          <w:color w:val="365F91" w:themeColor="accent1" w:themeShade="BF"/>
          <w:szCs w:val="18"/>
        </w:rPr>
        <w:t>19% increase in average household expenditure</w:t>
      </w:r>
      <w:r w:rsidRPr="00507E23">
        <w:rPr>
          <w:rFonts w:ascii="Tahoma" w:hAnsi="Tahoma" w:cs="Tahoma"/>
          <w:color w:val="365F91" w:themeColor="accent1" w:themeShade="BF"/>
          <w:szCs w:val="18"/>
        </w:rPr>
        <w:t xml:space="preserve"> </w:t>
      </w:r>
      <w:r w:rsidRPr="00507E23">
        <w:rPr>
          <w:rFonts w:ascii="Tahoma" w:hAnsi="Tahoma" w:cs="Tahoma"/>
          <w:color w:val="000000"/>
          <w:szCs w:val="18"/>
        </w:rPr>
        <w:t>at the national level, increasing from Vt 64,100 per month to Vt 76,200 per month. Average expenditure did not increase in all parts of Vanuatu, with average household expenditure decreasing slightly in the urban centres of Port Vila (-2%) and Luganville (-1%)</w:t>
      </w:r>
      <w:r w:rsidR="00FD3A73">
        <w:rPr>
          <w:rFonts w:ascii="Tahoma" w:hAnsi="Tahoma" w:cs="Tahoma"/>
          <w:color w:val="000000"/>
          <w:szCs w:val="18"/>
        </w:rPr>
        <w:t>; this decrease in the two areas is hidden in the overall urban average</w:t>
      </w:r>
      <w:r w:rsidRPr="00507E23">
        <w:rPr>
          <w:rFonts w:ascii="Tahoma" w:hAnsi="Tahoma" w:cs="Tahoma"/>
          <w:color w:val="000000"/>
          <w:szCs w:val="18"/>
        </w:rPr>
        <w:t xml:space="preserve">. Between 2006 and 2010 there were </w:t>
      </w:r>
      <w:r w:rsidRPr="00507E23">
        <w:rPr>
          <w:rFonts w:ascii="Tahoma" w:hAnsi="Tahoma" w:cs="Tahoma"/>
          <w:b/>
          <w:color w:val="365F91" w:themeColor="accent1" w:themeShade="BF"/>
          <w:szCs w:val="18"/>
        </w:rPr>
        <w:t>large increases in average household expenditure in Torba, rural Shefa, Tafea and Sanma but decreases in Port Vila and Luganville</w:t>
      </w:r>
      <w:r w:rsidRPr="00507E23">
        <w:rPr>
          <w:rFonts w:ascii="Tahoma" w:hAnsi="Tahoma" w:cs="Tahoma"/>
          <w:color w:val="000000"/>
          <w:szCs w:val="18"/>
        </w:rPr>
        <w:t xml:space="preserve">. </w:t>
      </w:r>
    </w:p>
    <w:p w:rsidR="00603B86" w:rsidRPr="00603B86" w:rsidRDefault="00603B86" w:rsidP="00603B86">
      <w:pPr>
        <w:pStyle w:val="Caption"/>
      </w:pPr>
      <w:r w:rsidRPr="00603B86">
        <w:t xml:space="preserve">Figure </w:t>
      </w:r>
      <w:r w:rsidRPr="00603B86">
        <w:fldChar w:fldCharType="begin"/>
      </w:r>
      <w:r w:rsidRPr="00603B86">
        <w:instrText xml:space="preserve"> SEQ Figure \* ARABIC \s 1 </w:instrText>
      </w:r>
      <w:r w:rsidRPr="00603B86">
        <w:fldChar w:fldCharType="separate"/>
      </w:r>
      <w:r w:rsidR="00FC4ABF">
        <w:rPr>
          <w:noProof/>
        </w:rPr>
        <w:t>2</w:t>
      </w:r>
      <w:r w:rsidRPr="00603B86">
        <w:fldChar w:fldCharType="end"/>
      </w:r>
      <w:proofErr w:type="gramStart"/>
      <w:r w:rsidRPr="00603B86">
        <w:t xml:space="preserve"> </w:t>
      </w:r>
      <w:r>
        <w:t>Average monthly household expenditure</w:t>
      </w:r>
      <w:r w:rsidRPr="00603B86">
        <w:t xml:space="preserve">, </w:t>
      </w:r>
      <w:r>
        <w:t xml:space="preserve">province, 2006 &amp; </w:t>
      </w:r>
      <w:r w:rsidRPr="00603B86">
        <w:t>2010</w:t>
      </w:r>
      <w:proofErr w:type="gramEnd"/>
      <w:r w:rsidRPr="00603B86">
        <w:t xml:space="preserve"> HIES</w:t>
      </w:r>
    </w:p>
    <w:p w:rsidR="00A9669C" w:rsidRPr="00507E23" w:rsidRDefault="00603B86" w:rsidP="00507E23">
      <w:pPr>
        <w:spacing w:before="120" w:after="0"/>
        <w:ind w:right="-45"/>
        <w:jc w:val="center"/>
        <w:rPr>
          <w:rFonts w:ascii="Tahoma" w:hAnsi="Tahoma" w:cs="Tahoma"/>
          <w:color w:val="000000"/>
          <w:szCs w:val="18"/>
        </w:rPr>
      </w:pPr>
      <w:r>
        <w:rPr>
          <w:noProof/>
          <w:lang w:eastAsia="en-NZ"/>
        </w:rPr>
        <w:drawing>
          <wp:inline distT="0" distB="0" distL="0" distR="0" wp14:anchorId="208AD527" wp14:editId="289849AF">
            <wp:extent cx="5341040" cy="2743200"/>
            <wp:effectExtent l="0" t="0" r="12065"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FA13A9" w:rsidRPr="00507E23" w:rsidRDefault="00FA13A9" w:rsidP="00FA13A9">
      <w:pPr>
        <w:spacing w:before="0"/>
        <w:ind w:left="426" w:right="-62"/>
        <w:jc w:val="both"/>
        <w:rPr>
          <w:rFonts w:ascii="Tahoma" w:hAnsi="Tahoma" w:cs="Tahoma"/>
          <w:i/>
          <w:color w:val="000000"/>
          <w:sz w:val="16"/>
        </w:rPr>
      </w:pPr>
      <w:r w:rsidRPr="00507E23">
        <w:rPr>
          <w:rFonts w:ascii="Tahoma" w:hAnsi="Tahoma" w:cs="Tahoma"/>
          <w:i/>
          <w:color w:val="000000"/>
          <w:sz w:val="16"/>
        </w:rPr>
        <w:t>Source: VNSO HIES 2006, 2010</w:t>
      </w:r>
    </w:p>
    <w:p w:rsidR="00507E23" w:rsidRPr="00507E23" w:rsidRDefault="00507E23" w:rsidP="0026175A">
      <w:pPr>
        <w:spacing w:before="120"/>
        <w:ind w:right="-62"/>
        <w:jc w:val="both"/>
        <w:rPr>
          <w:rFonts w:ascii="Tahoma" w:hAnsi="Tahoma" w:cs="Tahoma"/>
          <w:color w:val="000000"/>
          <w:szCs w:val="18"/>
        </w:rPr>
      </w:pPr>
      <w:r w:rsidRPr="00507E23">
        <w:rPr>
          <w:rFonts w:ascii="Tahoma" w:hAnsi="Tahoma" w:cs="Tahoma"/>
          <w:color w:val="000000"/>
          <w:szCs w:val="18"/>
        </w:rPr>
        <w:t xml:space="preserve">There is wide range in expenditure in Vanuatu, and in 2010 household expenditure was highest in Shefa, including Port Vila, and lowest in Torba. The 2010 median monthly household expenditure for Vanuatu was Vt 624,900, Vt 204,100 in Torba and Vt 1,459,100 in Port Vila.    </w:t>
      </w:r>
    </w:p>
    <w:p w:rsidR="00603B86" w:rsidRPr="00603B86" w:rsidRDefault="00603B86" w:rsidP="00603B86">
      <w:pPr>
        <w:pStyle w:val="Caption"/>
      </w:pPr>
      <w:r w:rsidRPr="00603B86">
        <w:t xml:space="preserve">Figure </w:t>
      </w:r>
      <w:r w:rsidRPr="00603B86">
        <w:fldChar w:fldCharType="begin"/>
      </w:r>
      <w:r w:rsidRPr="00603B86">
        <w:instrText xml:space="preserve"> SEQ Figure \* ARABIC \s 1 </w:instrText>
      </w:r>
      <w:r w:rsidRPr="00603B86">
        <w:fldChar w:fldCharType="separate"/>
      </w:r>
      <w:r w:rsidR="00FC4ABF">
        <w:rPr>
          <w:noProof/>
        </w:rPr>
        <w:t>3</w:t>
      </w:r>
      <w:r w:rsidRPr="00603B86">
        <w:fldChar w:fldCharType="end"/>
      </w:r>
      <w:r w:rsidRPr="00603B86">
        <w:t xml:space="preserve"> </w:t>
      </w:r>
      <w:r w:rsidR="006B4E65">
        <w:t>Monthly</w:t>
      </w:r>
      <w:r>
        <w:t xml:space="preserve"> household expenditure</w:t>
      </w:r>
      <w:r w:rsidR="006B4E65">
        <w:t xml:space="preserve"> distribution (quartiles)</w:t>
      </w:r>
      <w:r w:rsidRPr="00603B86">
        <w:t xml:space="preserve">, </w:t>
      </w:r>
      <w:r>
        <w:t xml:space="preserve">province, </w:t>
      </w:r>
      <w:r w:rsidRPr="00603B86">
        <w:t>2010 HIES</w:t>
      </w:r>
    </w:p>
    <w:p w:rsidR="00A9669C" w:rsidRPr="00507E23" w:rsidRDefault="00603B86" w:rsidP="00507E23">
      <w:pPr>
        <w:spacing w:before="120" w:after="0" w:line="240" w:lineRule="auto"/>
        <w:ind w:right="-46"/>
        <w:jc w:val="center"/>
        <w:rPr>
          <w:rFonts w:ascii="Tahoma" w:hAnsi="Tahoma" w:cs="Tahoma"/>
          <w:color w:val="000000"/>
          <w:sz w:val="18"/>
          <w:szCs w:val="18"/>
        </w:rPr>
      </w:pPr>
      <w:r>
        <w:rPr>
          <w:noProof/>
          <w:lang w:eastAsia="en-NZ"/>
        </w:rPr>
        <w:drawing>
          <wp:inline distT="0" distB="0" distL="0" distR="0" wp14:anchorId="5C60CD8F" wp14:editId="00D8E7AB">
            <wp:extent cx="4838700" cy="2600325"/>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FA13A9" w:rsidRPr="00507E23" w:rsidRDefault="00FA13A9" w:rsidP="00FA13A9">
      <w:pPr>
        <w:spacing w:before="0"/>
        <w:ind w:left="426" w:right="-62"/>
        <w:jc w:val="both"/>
        <w:rPr>
          <w:rFonts w:ascii="Tahoma" w:hAnsi="Tahoma" w:cs="Tahoma"/>
          <w:i/>
          <w:color w:val="000000"/>
          <w:sz w:val="16"/>
        </w:rPr>
      </w:pPr>
      <w:r w:rsidRPr="00507E23">
        <w:rPr>
          <w:rFonts w:ascii="Tahoma" w:hAnsi="Tahoma" w:cs="Tahoma"/>
          <w:i/>
          <w:color w:val="000000"/>
          <w:sz w:val="16"/>
        </w:rPr>
        <w:t>Source: VNSO HIES 2010</w:t>
      </w:r>
    </w:p>
    <w:p w:rsidR="00A9669C" w:rsidRDefault="00507E23" w:rsidP="0026175A">
      <w:pPr>
        <w:spacing w:before="120"/>
        <w:ind w:right="-62"/>
        <w:jc w:val="both"/>
        <w:rPr>
          <w:rFonts w:ascii="Tahoma" w:hAnsi="Tahoma" w:cs="Tahoma"/>
          <w:color w:val="000000"/>
          <w:szCs w:val="18"/>
        </w:rPr>
      </w:pPr>
      <w:r w:rsidRPr="00507E23">
        <w:rPr>
          <w:rFonts w:ascii="Tahoma" w:hAnsi="Tahoma" w:cs="Tahoma"/>
          <w:b/>
          <w:color w:val="365F91" w:themeColor="accent1" w:themeShade="BF"/>
          <w:szCs w:val="18"/>
        </w:rPr>
        <w:lastRenderedPageBreak/>
        <w:t xml:space="preserve">Over half of expenditure is for food items. </w:t>
      </w:r>
      <w:r w:rsidRPr="00507E23">
        <w:rPr>
          <w:rFonts w:ascii="Tahoma" w:hAnsi="Tahoma" w:cs="Tahoma"/>
          <w:color w:val="000000"/>
          <w:szCs w:val="18"/>
        </w:rPr>
        <w:t xml:space="preserve">The HIES collects information on the goods and services households spend money on, or produce and consume themselves (so called </w:t>
      </w:r>
      <w:r>
        <w:rPr>
          <w:rFonts w:ascii="Tahoma" w:hAnsi="Tahoma" w:cs="Tahoma"/>
          <w:color w:val="000000"/>
          <w:szCs w:val="18"/>
        </w:rPr>
        <w:t>“</w:t>
      </w:r>
      <w:r w:rsidRPr="00507E23">
        <w:rPr>
          <w:rFonts w:ascii="Tahoma" w:hAnsi="Tahoma" w:cs="Tahoma"/>
          <w:color w:val="000000"/>
          <w:szCs w:val="18"/>
        </w:rPr>
        <w:t>subsistence</w:t>
      </w:r>
      <w:r>
        <w:rPr>
          <w:rFonts w:ascii="Tahoma" w:hAnsi="Tahoma" w:cs="Tahoma"/>
          <w:color w:val="000000"/>
          <w:szCs w:val="18"/>
        </w:rPr>
        <w:t>”</w:t>
      </w:r>
      <w:r w:rsidRPr="00507E23">
        <w:rPr>
          <w:rFonts w:ascii="Tahoma" w:hAnsi="Tahoma" w:cs="Tahoma"/>
          <w:color w:val="000000"/>
          <w:szCs w:val="18"/>
        </w:rPr>
        <w:t>)</w:t>
      </w:r>
      <w:r>
        <w:rPr>
          <w:rFonts w:ascii="Tahoma" w:hAnsi="Tahoma" w:cs="Tahoma"/>
          <w:color w:val="000000"/>
          <w:szCs w:val="18"/>
        </w:rPr>
        <w:t xml:space="preserve"> in a two week daily diary and through a series of questions about other regular, and less regular, spending</w:t>
      </w:r>
      <w:r w:rsidRPr="00507E23">
        <w:rPr>
          <w:rFonts w:ascii="Tahoma" w:hAnsi="Tahoma" w:cs="Tahoma"/>
          <w:color w:val="000000"/>
          <w:szCs w:val="18"/>
        </w:rPr>
        <w:t xml:space="preserve">. </w:t>
      </w:r>
      <w:r w:rsidR="00040C8B">
        <w:rPr>
          <w:rFonts w:ascii="Tahoma" w:hAnsi="Tahoma" w:cs="Tahoma"/>
          <w:color w:val="000000"/>
          <w:szCs w:val="18"/>
        </w:rPr>
        <w:t xml:space="preserve">Expenditure patterns differ between rural and urban areas, with rural areas consuming more food compared to urban ones and urban households spending more on housing, household operations (fuel and lighting, communications, furniture, furnishings </w:t>
      </w:r>
      <w:proofErr w:type="spellStart"/>
      <w:r w:rsidR="00040C8B">
        <w:rPr>
          <w:rFonts w:ascii="Tahoma" w:hAnsi="Tahoma" w:cs="Tahoma"/>
          <w:color w:val="000000"/>
          <w:szCs w:val="18"/>
        </w:rPr>
        <w:t>etc</w:t>
      </w:r>
      <w:proofErr w:type="spellEnd"/>
      <w:r w:rsidR="00040C8B">
        <w:rPr>
          <w:rFonts w:ascii="Tahoma" w:hAnsi="Tahoma" w:cs="Tahoma"/>
          <w:color w:val="000000"/>
          <w:szCs w:val="18"/>
        </w:rPr>
        <w:t xml:space="preserve">) and transport than rural households. </w:t>
      </w:r>
      <w:r w:rsidR="00AE7E6E">
        <w:rPr>
          <w:rFonts w:ascii="Tahoma" w:hAnsi="Tahoma" w:cs="Tahoma"/>
          <w:color w:val="000000"/>
          <w:szCs w:val="18"/>
        </w:rPr>
        <w:t xml:space="preserve">Non-consumption expenditure includes the value of gifts of goods and cash given, fines paid, maintenance to former spouse and donations and contributions to the community or church. This kind of expenditure </w:t>
      </w:r>
      <w:r w:rsidR="00C542F4">
        <w:rPr>
          <w:rFonts w:ascii="Tahoma" w:hAnsi="Tahoma" w:cs="Tahoma"/>
          <w:color w:val="000000"/>
          <w:szCs w:val="18"/>
        </w:rPr>
        <w:t>has</w:t>
      </w:r>
      <w:r w:rsidR="00AE7E6E">
        <w:rPr>
          <w:rFonts w:ascii="Tahoma" w:hAnsi="Tahoma" w:cs="Tahoma"/>
          <w:color w:val="000000"/>
          <w:szCs w:val="18"/>
        </w:rPr>
        <w:t xml:space="preserve"> no ‘consumption’ of a good or a service by the household and thus its name.  </w:t>
      </w:r>
      <w:r w:rsidR="00040C8B">
        <w:rPr>
          <w:rFonts w:ascii="Tahoma" w:hAnsi="Tahoma" w:cs="Tahoma"/>
          <w:color w:val="000000"/>
          <w:szCs w:val="18"/>
        </w:rPr>
        <w:t xml:space="preserve">  </w:t>
      </w:r>
    </w:p>
    <w:p w:rsidR="006B4E65" w:rsidRPr="00603B86" w:rsidRDefault="006B4E65" w:rsidP="006B4E65">
      <w:pPr>
        <w:pStyle w:val="Caption"/>
      </w:pPr>
      <w:r w:rsidRPr="00603B86">
        <w:t xml:space="preserve">Figure </w:t>
      </w:r>
      <w:r w:rsidRPr="00603B86">
        <w:fldChar w:fldCharType="begin"/>
      </w:r>
      <w:r w:rsidRPr="00603B86">
        <w:instrText xml:space="preserve"> SEQ Figure \* ARABIC \s 1 </w:instrText>
      </w:r>
      <w:r w:rsidRPr="00603B86">
        <w:fldChar w:fldCharType="separate"/>
      </w:r>
      <w:r w:rsidR="00FC4ABF">
        <w:rPr>
          <w:noProof/>
        </w:rPr>
        <w:t>4</w:t>
      </w:r>
      <w:r w:rsidRPr="00603B86">
        <w:fldChar w:fldCharType="end"/>
      </w:r>
      <w:r w:rsidRPr="00603B86">
        <w:t xml:space="preserve"> </w:t>
      </w:r>
      <w:r>
        <w:t>Average monthly household expenditure, type</w:t>
      </w:r>
      <w:r w:rsidRPr="00603B86">
        <w:t xml:space="preserve">, </w:t>
      </w:r>
      <w:r>
        <w:t xml:space="preserve">region, </w:t>
      </w:r>
      <w:r w:rsidRPr="00603B86">
        <w:t>2010 HIES</w:t>
      </w:r>
    </w:p>
    <w:p w:rsidR="00106DFD" w:rsidRPr="00507E23" w:rsidRDefault="00AE7E6E" w:rsidP="0026175A">
      <w:pPr>
        <w:spacing w:before="120" w:after="0" w:line="240" w:lineRule="auto"/>
        <w:ind w:right="-46"/>
        <w:jc w:val="center"/>
        <w:rPr>
          <w:rFonts w:ascii="Tahoma" w:hAnsi="Tahoma" w:cs="Tahoma"/>
          <w:color w:val="000000"/>
          <w:szCs w:val="18"/>
        </w:rPr>
      </w:pPr>
      <w:r>
        <w:rPr>
          <w:noProof/>
          <w:lang w:eastAsia="en-NZ"/>
        </w:rPr>
        <w:drawing>
          <wp:inline distT="0" distB="0" distL="0" distR="0" wp14:anchorId="2CF1ECE7" wp14:editId="581A2E36">
            <wp:extent cx="5543550" cy="26670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FA13A9" w:rsidRPr="00507E23" w:rsidRDefault="00FA13A9" w:rsidP="00FA13A9">
      <w:pPr>
        <w:spacing w:before="0"/>
        <w:ind w:left="426" w:right="-62"/>
        <w:jc w:val="both"/>
        <w:rPr>
          <w:rFonts w:ascii="Tahoma" w:hAnsi="Tahoma" w:cs="Tahoma"/>
          <w:i/>
          <w:color w:val="000000"/>
          <w:sz w:val="16"/>
        </w:rPr>
      </w:pPr>
      <w:r w:rsidRPr="00507E23">
        <w:rPr>
          <w:rFonts w:ascii="Tahoma" w:hAnsi="Tahoma" w:cs="Tahoma"/>
          <w:i/>
          <w:color w:val="000000"/>
          <w:sz w:val="16"/>
        </w:rPr>
        <w:t>Source: VNSO HIES 2010</w:t>
      </w:r>
    </w:p>
    <w:p w:rsidR="00A9669C" w:rsidRDefault="001E4240" w:rsidP="0026175A">
      <w:pPr>
        <w:tabs>
          <w:tab w:val="left" w:pos="3510"/>
        </w:tabs>
        <w:spacing w:before="120"/>
        <w:ind w:right="-62"/>
        <w:jc w:val="both"/>
        <w:rPr>
          <w:rFonts w:ascii="Tahoma" w:hAnsi="Tahoma" w:cs="Tahoma"/>
          <w:color w:val="000000"/>
          <w:sz w:val="18"/>
          <w:szCs w:val="18"/>
        </w:rPr>
      </w:pPr>
      <w:r w:rsidRPr="001E4240">
        <w:rPr>
          <w:rFonts w:ascii="Tahoma" w:hAnsi="Tahoma" w:cs="Tahoma"/>
          <w:b/>
          <w:color w:val="365F91" w:themeColor="accent1" w:themeShade="BF"/>
          <w:szCs w:val="18"/>
        </w:rPr>
        <w:t>Cash accounted for almost two-thirds of the value of purchases and subsistence one-third.</w:t>
      </w:r>
      <w:r>
        <w:rPr>
          <w:rFonts w:ascii="Tahoma" w:hAnsi="Tahoma" w:cs="Tahoma"/>
          <w:color w:val="000000"/>
          <w:sz w:val="18"/>
          <w:szCs w:val="18"/>
        </w:rPr>
        <w:t xml:space="preserve"> In rural areas goods produced and consumed in the home – food, firewood, thatch, mats </w:t>
      </w:r>
      <w:proofErr w:type="spellStart"/>
      <w:r>
        <w:rPr>
          <w:rFonts w:ascii="Tahoma" w:hAnsi="Tahoma" w:cs="Tahoma"/>
          <w:color w:val="000000"/>
          <w:sz w:val="18"/>
          <w:szCs w:val="18"/>
        </w:rPr>
        <w:t>etc</w:t>
      </w:r>
      <w:proofErr w:type="spellEnd"/>
      <w:r>
        <w:rPr>
          <w:rFonts w:ascii="Tahoma" w:hAnsi="Tahoma" w:cs="Tahoma"/>
          <w:color w:val="000000"/>
          <w:sz w:val="18"/>
          <w:szCs w:val="18"/>
        </w:rPr>
        <w:t xml:space="preserve"> – made up 43% of the value of all goods consumed compared with only 8% in urban areas. Almost 90% of all urban expenditure was cash purchases. </w:t>
      </w:r>
    </w:p>
    <w:p w:rsidR="006B4E65" w:rsidRPr="00603B86" w:rsidRDefault="006B4E65" w:rsidP="006B4E65">
      <w:pPr>
        <w:pStyle w:val="Caption"/>
      </w:pPr>
      <w:r w:rsidRPr="00603B86">
        <w:t xml:space="preserve">Figure </w:t>
      </w:r>
      <w:r w:rsidRPr="00603B86">
        <w:fldChar w:fldCharType="begin"/>
      </w:r>
      <w:r w:rsidRPr="00603B86">
        <w:instrText xml:space="preserve"> SEQ Figure \* ARABIC \s 1 </w:instrText>
      </w:r>
      <w:r w:rsidRPr="00603B86">
        <w:fldChar w:fldCharType="separate"/>
      </w:r>
      <w:r w:rsidR="00FC4ABF">
        <w:rPr>
          <w:noProof/>
        </w:rPr>
        <w:t>5</w:t>
      </w:r>
      <w:r w:rsidRPr="00603B86">
        <w:fldChar w:fldCharType="end"/>
      </w:r>
      <w:r w:rsidRPr="00603B86">
        <w:t xml:space="preserve"> </w:t>
      </w:r>
      <w:r>
        <w:t xml:space="preserve">Proportion by each type of household expenditure consumption, region, </w:t>
      </w:r>
      <w:r w:rsidRPr="00603B86">
        <w:t>2010 HIES</w:t>
      </w:r>
    </w:p>
    <w:p w:rsidR="001E4240" w:rsidRDefault="00775871" w:rsidP="00FA13A9">
      <w:pPr>
        <w:tabs>
          <w:tab w:val="left" w:pos="3510"/>
        </w:tabs>
        <w:spacing w:before="0" w:after="0"/>
        <w:ind w:right="-45"/>
        <w:jc w:val="center"/>
        <w:rPr>
          <w:rFonts w:ascii="Tahoma" w:hAnsi="Tahoma" w:cs="Tahoma"/>
          <w:color w:val="000000"/>
          <w:sz w:val="18"/>
          <w:szCs w:val="18"/>
        </w:rPr>
      </w:pPr>
      <w:r>
        <w:rPr>
          <w:noProof/>
          <w:lang w:eastAsia="en-NZ"/>
        </w:rPr>
        <w:drawing>
          <wp:inline distT="0" distB="0" distL="0" distR="0" wp14:anchorId="28C1B21B" wp14:editId="29DA86A8">
            <wp:extent cx="3657600" cy="27432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FA13A9" w:rsidRPr="00507E23" w:rsidRDefault="00FA13A9" w:rsidP="00FA13A9">
      <w:pPr>
        <w:spacing w:before="0"/>
        <w:ind w:left="426" w:right="-62"/>
        <w:jc w:val="both"/>
        <w:rPr>
          <w:rFonts w:ascii="Tahoma" w:hAnsi="Tahoma" w:cs="Tahoma"/>
          <w:i/>
          <w:color w:val="000000"/>
          <w:sz w:val="16"/>
        </w:rPr>
      </w:pPr>
      <w:r w:rsidRPr="00507E23">
        <w:rPr>
          <w:rFonts w:ascii="Tahoma" w:hAnsi="Tahoma" w:cs="Tahoma"/>
          <w:i/>
          <w:color w:val="000000"/>
          <w:sz w:val="16"/>
        </w:rPr>
        <w:t>Source: VNSO HIES 2010</w:t>
      </w:r>
    </w:p>
    <w:p w:rsidR="003F49F6" w:rsidRPr="00DD657C" w:rsidRDefault="003F49F6" w:rsidP="003F49F6">
      <w:pPr>
        <w:pStyle w:val="Heading2"/>
        <w:rPr>
          <w:spacing w:val="30"/>
        </w:rPr>
      </w:pPr>
      <w:r w:rsidRPr="00DD657C">
        <w:rPr>
          <w:spacing w:val="30"/>
        </w:rPr>
        <w:lastRenderedPageBreak/>
        <w:t xml:space="preserve">Millennium Development Goal (MDG) one </w:t>
      </w:r>
      <w:r w:rsidR="00F32446" w:rsidRPr="00DD657C">
        <w:rPr>
          <w:spacing w:val="30"/>
        </w:rPr>
        <w:t>Progress</w:t>
      </w:r>
      <w:r w:rsidRPr="00DD657C">
        <w:rPr>
          <w:spacing w:val="30"/>
        </w:rPr>
        <w:t xml:space="preserve"> </w:t>
      </w:r>
    </w:p>
    <w:p w:rsidR="00FA13A9" w:rsidRDefault="003F49F6" w:rsidP="0026175A">
      <w:pPr>
        <w:spacing w:before="120"/>
        <w:ind w:right="-62"/>
        <w:jc w:val="both"/>
        <w:rPr>
          <w:rFonts w:ascii="Tahoma" w:hAnsi="Tahoma" w:cs="Tahoma"/>
          <w:color w:val="000000"/>
        </w:rPr>
      </w:pPr>
      <w:r w:rsidRPr="00507E23">
        <w:rPr>
          <w:rFonts w:ascii="Tahoma" w:hAnsi="Tahoma" w:cs="Tahoma"/>
          <w:color w:val="000000"/>
        </w:rPr>
        <w:t xml:space="preserve">The HIES is the source of statistical indicators used to monitor progress towards achieving the first MDG to eradicate extreme poverty and hunger through a range of poverty related indicators. </w:t>
      </w:r>
      <w:r w:rsidRPr="00507E23">
        <w:rPr>
          <w:rFonts w:ascii="Tahoma" w:hAnsi="Tahoma" w:cs="Tahoma"/>
          <w:b/>
          <w:color w:val="365F91" w:themeColor="accent1" w:themeShade="BF"/>
        </w:rPr>
        <w:t>A range of indicators show that poverty has decreased between 2006 and 2010.</w:t>
      </w:r>
      <w:r w:rsidRPr="00507E23">
        <w:rPr>
          <w:rFonts w:ascii="Tahoma" w:hAnsi="Tahoma" w:cs="Tahoma"/>
          <w:color w:val="000000"/>
        </w:rPr>
        <w:t xml:space="preserve"> The HIES shows that </w:t>
      </w:r>
      <w:r w:rsidRPr="00507E23">
        <w:rPr>
          <w:rFonts w:ascii="Tahoma" w:hAnsi="Tahoma" w:cs="Tahoma"/>
          <w:b/>
          <w:color w:val="365F91" w:themeColor="accent1" w:themeShade="BF"/>
          <w:szCs w:val="18"/>
        </w:rPr>
        <w:t>extreme poverty, hunger and destitution is rare in Vanuatu</w:t>
      </w:r>
      <w:r w:rsidRPr="00507E23">
        <w:rPr>
          <w:rFonts w:ascii="Tahoma" w:hAnsi="Tahoma" w:cs="Tahoma"/>
          <w:color w:val="000000"/>
        </w:rPr>
        <w:t xml:space="preserve">; as measured by the proportion of the population living with less than $1.25 a day. Indicators like the poverty gap ratio and the </w:t>
      </w:r>
      <w:proofErr w:type="spellStart"/>
      <w:r w:rsidRPr="00507E23">
        <w:rPr>
          <w:rFonts w:ascii="Tahoma" w:hAnsi="Tahoma" w:cs="Tahoma"/>
          <w:color w:val="000000"/>
        </w:rPr>
        <w:t>gini</w:t>
      </w:r>
      <w:proofErr w:type="spellEnd"/>
      <w:r w:rsidRPr="00507E23">
        <w:rPr>
          <w:rFonts w:ascii="Tahoma" w:hAnsi="Tahoma" w:cs="Tahoma"/>
          <w:color w:val="000000"/>
        </w:rPr>
        <w:t xml:space="preserve"> coefficient have decreased between 2006 and 2010 meaning that </w:t>
      </w:r>
      <w:r w:rsidRPr="00507E23">
        <w:rPr>
          <w:rFonts w:ascii="Tahoma" w:hAnsi="Tahoma" w:cs="Tahoma"/>
          <w:b/>
          <w:color w:val="365F91" w:themeColor="accent1" w:themeShade="BF"/>
          <w:szCs w:val="18"/>
        </w:rPr>
        <w:t>the depth in the extent of poverty has decreased</w:t>
      </w:r>
      <w:r w:rsidRPr="00507E23">
        <w:rPr>
          <w:rFonts w:ascii="Tahoma" w:hAnsi="Tahoma" w:cs="Tahoma"/>
          <w:color w:val="000000"/>
        </w:rPr>
        <w:t xml:space="preserve"> (the poverty gap ratio) and </w:t>
      </w:r>
      <w:r w:rsidRPr="00507E23">
        <w:rPr>
          <w:rFonts w:ascii="Tahoma" w:hAnsi="Tahoma" w:cs="Tahoma"/>
          <w:b/>
          <w:color w:val="365F91" w:themeColor="accent1" w:themeShade="BF"/>
        </w:rPr>
        <w:t>the divide between the poor and the rich is less; although the difference is still very large</w:t>
      </w:r>
      <w:r w:rsidRPr="00507E23">
        <w:rPr>
          <w:rFonts w:ascii="Tahoma" w:hAnsi="Tahoma" w:cs="Tahoma"/>
          <w:color w:val="365F91" w:themeColor="accent1" w:themeShade="BF"/>
        </w:rPr>
        <w:t xml:space="preserve"> </w:t>
      </w:r>
      <w:r w:rsidRPr="00507E23">
        <w:rPr>
          <w:rFonts w:ascii="Tahoma" w:hAnsi="Tahoma" w:cs="Tahoma"/>
          <w:color w:val="000000"/>
        </w:rPr>
        <w:t xml:space="preserve">(the </w:t>
      </w:r>
      <w:proofErr w:type="spellStart"/>
      <w:r w:rsidRPr="00507E23">
        <w:rPr>
          <w:rFonts w:ascii="Tahoma" w:hAnsi="Tahoma" w:cs="Tahoma"/>
          <w:color w:val="000000"/>
        </w:rPr>
        <w:t>gini</w:t>
      </w:r>
      <w:proofErr w:type="spellEnd"/>
      <w:r w:rsidRPr="00507E23">
        <w:rPr>
          <w:rFonts w:ascii="Tahoma" w:hAnsi="Tahoma" w:cs="Tahoma"/>
          <w:color w:val="000000"/>
        </w:rPr>
        <w:t xml:space="preserve"> coefficient).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50"/>
        <w:gridCol w:w="1417"/>
        <w:gridCol w:w="1505"/>
      </w:tblGrid>
      <w:tr w:rsidR="003F49F6" w:rsidRPr="00F32446" w:rsidTr="00AE7E6E">
        <w:tc>
          <w:tcPr>
            <w:tcW w:w="5550" w:type="dxa"/>
          </w:tcPr>
          <w:p w:rsidR="003F49F6" w:rsidRPr="00F32446" w:rsidRDefault="003F49F6" w:rsidP="003F49F6">
            <w:pPr>
              <w:spacing w:before="120" w:after="0" w:line="240" w:lineRule="auto"/>
              <w:ind w:right="-62"/>
              <w:jc w:val="both"/>
              <w:rPr>
                <w:rFonts w:ascii="Tahoma" w:hAnsi="Tahoma" w:cs="Tahoma"/>
                <w:color w:val="000000"/>
              </w:rPr>
            </w:pPr>
          </w:p>
        </w:tc>
        <w:tc>
          <w:tcPr>
            <w:tcW w:w="1417" w:type="dxa"/>
          </w:tcPr>
          <w:p w:rsidR="003F49F6" w:rsidRPr="00F32446" w:rsidRDefault="003F49F6" w:rsidP="003F49F6">
            <w:pPr>
              <w:spacing w:before="120" w:after="0" w:line="240" w:lineRule="auto"/>
              <w:ind w:right="-62"/>
              <w:jc w:val="center"/>
              <w:rPr>
                <w:rFonts w:ascii="Tahoma" w:hAnsi="Tahoma" w:cs="Tahoma"/>
                <w:color w:val="000000"/>
              </w:rPr>
            </w:pPr>
            <w:r w:rsidRPr="00F32446">
              <w:rPr>
                <w:rFonts w:ascii="Tahoma" w:hAnsi="Tahoma" w:cs="Tahoma"/>
                <w:color w:val="000000"/>
              </w:rPr>
              <w:t>2006</w:t>
            </w:r>
          </w:p>
        </w:tc>
        <w:tc>
          <w:tcPr>
            <w:tcW w:w="1505" w:type="dxa"/>
          </w:tcPr>
          <w:p w:rsidR="003F49F6" w:rsidRPr="00F32446" w:rsidRDefault="003F49F6" w:rsidP="003F49F6">
            <w:pPr>
              <w:spacing w:before="120" w:after="0" w:line="240" w:lineRule="auto"/>
              <w:ind w:right="-62"/>
              <w:jc w:val="center"/>
              <w:rPr>
                <w:rFonts w:ascii="Tahoma" w:hAnsi="Tahoma" w:cs="Tahoma"/>
                <w:color w:val="000000"/>
              </w:rPr>
            </w:pPr>
            <w:r w:rsidRPr="00F32446">
              <w:rPr>
                <w:rFonts w:ascii="Tahoma" w:hAnsi="Tahoma" w:cs="Tahoma"/>
                <w:color w:val="000000"/>
              </w:rPr>
              <w:t>2010</w:t>
            </w:r>
          </w:p>
        </w:tc>
      </w:tr>
      <w:tr w:rsidR="003F49F6" w:rsidRPr="00F32446" w:rsidTr="00AE7E6E">
        <w:tc>
          <w:tcPr>
            <w:tcW w:w="5550" w:type="dxa"/>
          </w:tcPr>
          <w:p w:rsidR="003F49F6" w:rsidRPr="00F32446" w:rsidRDefault="003F49F6" w:rsidP="00FA13A9">
            <w:pPr>
              <w:spacing w:before="60" w:after="60" w:line="240" w:lineRule="auto"/>
              <w:ind w:right="-62"/>
              <w:jc w:val="both"/>
              <w:rPr>
                <w:rFonts w:ascii="Tahoma" w:hAnsi="Tahoma" w:cs="Tahoma"/>
                <w:color w:val="365F91" w:themeColor="accent1" w:themeShade="BF"/>
              </w:rPr>
            </w:pPr>
            <w:r w:rsidRPr="00F32446">
              <w:rPr>
                <w:rFonts w:ascii="Tahoma" w:hAnsi="Tahoma" w:cs="Tahoma"/>
                <w:color w:val="365F91" w:themeColor="accent1" w:themeShade="BF"/>
              </w:rPr>
              <w:t>Proportion of population below $1.25 (PPP) per day</w:t>
            </w:r>
          </w:p>
        </w:tc>
        <w:tc>
          <w:tcPr>
            <w:tcW w:w="1417" w:type="dxa"/>
          </w:tcPr>
          <w:p w:rsidR="003F49F6" w:rsidRPr="00F32446" w:rsidRDefault="003F49F6" w:rsidP="00AE7E6E">
            <w:pPr>
              <w:spacing w:before="60" w:after="60" w:line="240" w:lineRule="auto"/>
              <w:ind w:right="372"/>
              <w:jc w:val="right"/>
              <w:rPr>
                <w:rFonts w:ascii="Tahoma" w:hAnsi="Tahoma" w:cs="Tahoma"/>
                <w:color w:val="365F91" w:themeColor="accent1" w:themeShade="BF"/>
              </w:rPr>
            </w:pPr>
            <w:r w:rsidRPr="00F32446">
              <w:rPr>
                <w:rFonts w:ascii="Tahoma" w:hAnsi="Tahoma" w:cs="Tahoma"/>
                <w:color w:val="365F91" w:themeColor="accent1" w:themeShade="BF"/>
              </w:rPr>
              <w:t>9%</w:t>
            </w:r>
          </w:p>
        </w:tc>
        <w:tc>
          <w:tcPr>
            <w:tcW w:w="1505" w:type="dxa"/>
          </w:tcPr>
          <w:p w:rsidR="003F49F6" w:rsidRPr="00F32446" w:rsidRDefault="003F49F6" w:rsidP="00AE7E6E">
            <w:pPr>
              <w:spacing w:before="60" w:after="60" w:line="240" w:lineRule="auto"/>
              <w:ind w:right="318"/>
              <w:jc w:val="right"/>
              <w:rPr>
                <w:rFonts w:ascii="Tahoma" w:hAnsi="Tahoma" w:cs="Tahoma"/>
                <w:color w:val="365F91" w:themeColor="accent1" w:themeShade="BF"/>
              </w:rPr>
            </w:pPr>
            <w:r w:rsidRPr="00F32446">
              <w:rPr>
                <w:rFonts w:ascii="Tahoma" w:hAnsi="Tahoma" w:cs="Tahoma"/>
                <w:color w:val="365F91" w:themeColor="accent1" w:themeShade="BF"/>
              </w:rPr>
              <w:t>0%</w:t>
            </w:r>
          </w:p>
        </w:tc>
      </w:tr>
      <w:tr w:rsidR="003F49F6" w:rsidRPr="00F32446" w:rsidTr="00AE7E6E">
        <w:tc>
          <w:tcPr>
            <w:tcW w:w="5550" w:type="dxa"/>
          </w:tcPr>
          <w:p w:rsidR="003F49F6" w:rsidRPr="00F32446" w:rsidRDefault="003F49F6" w:rsidP="00FA13A9">
            <w:pPr>
              <w:spacing w:before="60" w:after="60" w:line="240" w:lineRule="auto"/>
              <w:ind w:right="-62"/>
              <w:jc w:val="both"/>
              <w:rPr>
                <w:rFonts w:ascii="Tahoma" w:hAnsi="Tahoma" w:cs="Tahoma"/>
                <w:color w:val="365F91" w:themeColor="accent1" w:themeShade="BF"/>
              </w:rPr>
            </w:pPr>
            <w:r w:rsidRPr="00F32446">
              <w:rPr>
                <w:rFonts w:ascii="Tahoma" w:hAnsi="Tahoma" w:cs="Tahoma"/>
                <w:color w:val="365F91" w:themeColor="accent1" w:themeShade="BF"/>
              </w:rPr>
              <w:t>Proportion of population below national poverty line</w:t>
            </w:r>
          </w:p>
        </w:tc>
        <w:tc>
          <w:tcPr>
            <w:tcW w:w="1417" w:type="dxa"/>
          </w:tcPr>
          <w:p w:rsidR="003F49F6" w:rsidRPr="00F32446" w:rsidRDefault="003F49F6" w:rsidP="00AE7E6E">
            <w:pPr>
              <w:spacing w:before="60" w:after="60" w:line="240" w:lineRule="auto"/>
              <w:ind w:right="372"/>
              <w:jc w:val="right"/>
              <w:rPr>
                <w:rFonts w:ascii="Tahoma" w:hAnsi="Tahoma" w:cs="Tahoma"/>
                <w:color w:val="365F91" w:themeColor="accent1" w:themeShade="BF"/>
              </w:rPr>
            </w:pPr>
            <w:r w:rsidRPr="00F32446">
              <w:rPr>
                <w:rFonts w:ascii="Tahoma" w:hAnsi="Tahoma" w:cs="Tahoma"/>
                <w:color w:val="365F91" w:themeColor="accent1" w:themeShade="BF"/>
              </w:rPr>
              <w:t>13%</w:t>
            </w:r>
          </w:p>
        </w:tc>
        <w:tc>
          <w:tcPr>
            <w:tcW w:w="1505" w:type="dxa"/>
          </w:tcPr>
          <w:p w:rsidR="003F49F6" w:rsidRPr="00F32446" w:rsidRDefault="003F49F6" w:rsidP="00AE7E6E">
            <w:pPr>
              <w:spacing w:before="60" w:after="60" w:line="240" w:lineRule="auto"/>
              <w:ind w:right="318"/>
              <w:jc w:val="right"/>
              <w:rPr>
                <w:rFonts w:ascii="Tahoma" w:hAnsi="Tahoma" w:cs="Tahoma"/>
                <w:color w:val="365F91" w:themeColor="accent1" w:themeShade="BF"/>
              </w:rPr>
            </w:pPr>
            <w:r w:rsidRPr="00F32446">
              <w:rPr>
                <w:rFonts w:ascii="Tahoma" w:hAnsi="Tahoma" w:cs="Tahoma"/>
                <w:color w:val="365F91" w:themeColor="accent1" w:themeShade="BF"/>
              </w:rPr>
              <w:t>13%</w:t>
            </w:r>
          </w:p>
        </w:tc>
      </w:tr>
      <w:tr w:rsidR="003F49F6" w:rsidRPr="00F32446" w:rsidTr="00AE7E6E">
        <w:tc>
          <w:tcPr>
            <w:tcW w:w="5550" w:type="dxa"/>
          </w:tcPr>
          <w:p w:rsidR="003F49F6" w:rsidRPr="00F32446" w:rsidRDefault="003F49F6" w:rsidP="00FA13A9">
            <w:pPr>
              <w:spacing w:before="60" w:after="60" w:line="240" w:lineRule="auto"/>
              <w:ind w:right="-62"/>
              <w:jc w:val="both"/>
              <w:rPr>
                <w:rFonts w:ascii="Tahoma" w:hAnsi="Tahoma" w:cs="Tahoma"/>
                <w:color w:val="365F91" w:themeColor="accent1" w:themeShade="BF"/>
              </w:rPr>
            </w:pPr>
            <w:r w:rsidRPr="00F32446">
              <w:rPr>
                <w:rFonts w:ascii="Tahoma" w:hAnsi="Tahoma" w:cs="Tahoma"/>
                <w:color w:val="365F91" w:themeColor="accent1" w:themeShade="BF"/>
              </w:rPr>
              <w:t>Poverty gap ratio</w:t>
            </w:r>
          </w:p>
        </w:tc>
        <w:tc>
          <w:tcPr>
            <w:tcW w:w="1417" w:type="dxa"/>
          </w:tcPr>
          <w:p w:rsidR="003F49F6" w:rsidRPr="00F32446" w:rsidRDefault="003F49F6" w:rsidP="00AE7E6E">
            <w:pPr>
              <w:spacing w:before="60" w:after="60" w:line="240" w:lineRule="auto"/>
              <w:ind w:right="372"/>
              <w:jc w:val="right"/>
              <w:rPr>
                <w:rFonts w:ascii="Tahoma" w:hAnsi="Tahoma" w:cs="Tahoma"/>
                <w:color w:val="365F91" w:themeColor="accent1" w:themeShade="BF"/>
              </w:rPr>
            </w:pPr>
            <w:r w:rsidRPr="00F32446">
              <w:rPr>
                <w:rFonts w:ascii="Tahoma" w:hAnsi="Tahoma" w:cs="Tahoma"/>
                <w:color w:val="365F91" w:themeColor="accent1" w:themeShade="BF"/>
              </w:rPr>
              <w:t>5.6</w:t>
            </w:r>
          </w:p>
        </w:tc>
        <w:tc>
          <w:tcPr>
            <w:tcW w:w="1505" w:type="dxa"/>
          </w:tcPr>
          <w:p w:rsidR="003F49F6" w:rsidRPr="00F32446" w:rsidRDefault="003F49F6" w:rsidP="00AE7E6E">
            <w:pPr>
              <w:spacing w:before="60" w:after="60" w:line="240" w:lineRule="auto"/>
              <w:ind w:right="318"/>
              <w:jc w:val="right"/>
              <w:rPr>
                <w:rFonts w:ascii="Tahoma" w:hAnsi="Tahoma" w:cs="Tahoma"/>
                <w:color w:val="365F91" w:themeColor="accent1" w:themeShade="BF"/>
              </w:rPr>
            </w:pPr>
            <w:r w:rsidRPr="00F32446">
              <w:rPr>
                <w:rFonts w:ascii="Tahoma" w:hAnsi="Tahoma" w:cs="Tahoma"/>
                <w:color w:val="365F91" w:themeColor="accent1" w:themeShade="BF"/>
              </w:rPr>
              <w:t>3.0</w:t>
            </w:r>
          </w:p>
        </w:tc>
      </w:tr>
      <w:tr w:rsidR="003F49F6" w:rsidRPr="00F32446" w:rsidTr="00AE7E6E">
        <w:tc>
          <w:tcPr>
            <w:tcW w:w="5550" w:type="dxa"/>
          </w:tcPr>
          <w:p w:rsidR="003F49F6" w:rsidRPr="00F32446" w:rsidRDefault="003F49F6" w:rsidP="00FA13A9">
            <w:pPr>
              <w:spacing w:before="60" w:after="60" w:line="240" w:lineRule="auto"/>
              <w:ind w:right="-62"/>
              <w:jc w:val="both"/>
              <w:rPr>
                <w:rFonts w:ascii="Tahoma" w:hAnsi="Tahoma" w:cs="Tahoma"/>
                <w:color w:val="365F91" w:themeColor="accent1" w:themeShade="BF"/>
              </w:rPr>
            </w:pPr>
            <w:r w:rsidRPr="00F32446">
              <w:rPr>
                <w:rFonts w:ascii="Tahoma" w:hAnsi="Tahoma" w:cs="Tahoma"/>
                <w:color w:val="365F91" w:themeColor="accent1" w:themeShade="BF"/>
              </w:rPr>
              <w:t xml:space="preserve">Share of poorest quintile in national consumption </w:t>
            </w:r>
          </w:p>
        </w:tc>
        <w:tc>
          <w:tcPr>
            <w:tcW w:w="1417" w:type="dxa"/>
          </w:tcPr>
          <w:p w:rsidR="003F49F6" w:rsidRPr="00F32446" w:rsidRDefault="003F49F6" w:rsidP="00AE7E6E">
            <w:pPr>
              <w:spacing w:before="60" w:after="60" w:line="240" w:lineRule="auto"/>
              <w:ind w:right="372"/>
              <w:jc w:val="right"/>
              <w:rPr>
                <w:rFonts w:ascii="Tahoma" w:hAnsi="Tahoma" w:cs="Tahoma"/>
                <w:color w:val="365F91" w:themeColor="accent1" w:themeShade="BF"/>
              </w:rPr>
            </w:pPr>
            <w:r w:rsidRPr="00F32446">
              <w:rPr>
                <w:rFonts w:ascii="Tahoma" w:hAnsi="Tahoma" w:cs="Tahoma"/>
                <w:color w:val="365F91" w:themeColor="accent1" w:themeShade="BF"/>
              </w:rPr>
              <w:t>7.4%</w:t>
            </w:r>
          </w:p>
        </w:tc>
        <w:tc>
          <w:tcPr>
            <w:tcW w:w="1505" w:type="dxa"/>
          </w:tcPr>
          <w:p w:rsidR="003F49F6" w:rsidRPr="00F32446" w:rsidRDefault="003F49F6" w:rsidP="00AE7E6E">
            <w:pPr>
              <w:spacing w:before="60" w:after="60" w:line="240" w:lineRule="auto"/>
              <w:ind w:right="318"/>
              <w:jc w:val="right"/>
              <w:rPr>
                <w:rFonts w:ascii="Tahoma" w:hAnsi="Tahoma" w:cs="Tahoma"/>
                <w:color w:val="365F91" w:themeColor="accent1" w:themeShade="BF"/>
              </w:rPr>
            </w:pPr>
            <w:r w:rsidRPr="00F32446">
              <w:rPr>
                <w:rFonts w:ascii="Tahoma" w:hAnsi="Tahoma" w:cs="Tahoma"/>
                <w:color w:val="365F91" w:themeColor="accent1" w:themeShade="BF"/>
              </w:rPr>
              <w:t>8.5%</w:t>
            </w:r>
          </w:p>
        </w:tc>
      </w:tr>
      <w:tr w:rsidR="003F49F6" w:rsidRPr="00F32446" w:rsidTr="00AE7E6E">
        <w:tc>
          <w:tcPr>
            <w:tcW w:w="5550" w:type="dxa"/>
          </w:tcPr>
          <w:p w:rsidR="003F49F6" w:rsidRPr="00F32446" w:rsidRDefault="003F49F6" w:rsidP="00FA13A9">
            <w:pPr>
              <w:spacing w:before="60" w:after="60" w:line="240" w:lineRule="auto"/>
              <w:ind w:right="-62"/>
              <w:jc w:val="both"/>
              <w:rPr>
                <w:rFonts w:ascii="Tahoma" w:hAnsi="Tahoma" w:cs="Tahoma"/>
                <w:color w:val="365F91" w:themeColor="accent1" w:themeShade="BF"/>
              </w:rPr>
            </w:pPr>
            <w:proofErr w:type="spellStart"/>
            <w:r w:rsidRPr="00F32446">
              <w:rPr>
                <w:rFonts w:ascii="Tahoma" w:hAnsi="Tahoma" w:cs="Tahoma"/>
                <w:color w:val="365F91" w:themeColor="accent1" w:themeShade="BF"/>
              </w:rPr>
              <w:t>Gini</w:t>
            </w:r>
            <w:proofErr w:type="spellEnd"/>
            <w:r w:rsidRPr="00F32446">
              <w:rPr>
                <w:rFonts w:ascii="Tahoma" w:hAnsi="Tahoma" w:cs="Tahoma"/>
                <w:color w:val="365F91" w:themeColor="accent1" w:themeShade="BF"/>
              </w:rPr>
              <w:t xml:space="preserve"> coefficient of inequality</w:t>
            </w:r>
          </w:p>
        </w:tc>
        <w:tc>
          <w:tcPr>
            <w:tcW w:w="1417" w:type="dxa"/>
            <w:vAlign w:val="bottom"/>
          </w:tcPr>
          <w:p w:rsidR="003F49F6" w:rsidRPr="00F32446" w:rsidRDefault="003F49F6" w:rsidP="00AE7E6E">
            <w:pPr>
              <w:spacing w:before="60" w:after="60" w:line="240" w:lineRule="auto"/>
              <w:ind w:right="372"/>
              <w:jc w:val="right"/>
              <w:rPr>
                <w:rFonts w:ascii="Tahoma" w:hAnsi="Tahoma" w:cs="Tahoma"/>
                <w:color w:val="365F91" w:themeColor="accent1" w:themeShade="BF"/>
              </w:rPr>
            </w:pPr>
            <w:r w:rsidRPr="00F32446">
              <w:rPr>
                <w:rFonts w:ascii="Tahoma" w:hAnsi="Tahoma" w:cs="Tahoma"/>
                <w:color w:val="365F91" w:themeColor="accent1" w:themeShade="BF"/>
              </w:rPr>
              <w:t>0.41</w:t>
            </w:r>
          </w:p>
        </w:tc>
        <w:tc>
          <w:tcPr>
            <w:tcW w:w="1505" w:type="dxa"/>
            <w:vAlign w:val="bottom"/>
          </w:tcPr>
          <w:p w:rsidR="003F49F6" w:rsidRPr="00F32446" w:rsidRDefault="003F49F6" w:rsidP="00AE7E6E">
            <w:pPr>
              <w:spacing w:before="60" w:after="60" w:line="240" w:lineRule="auto"/>
              <w:ind w:right="318"/>
              <w:jc w:val="right"/>
              <w:rPr>
                <w:rFonts w:ascii="Tahoma" w:hAnsi="Tahoma" w:cs="Tahoma"/>
                <w:color w:val="365F91" w:themeColor="accent1" w:themeShade="BF"/>
              </w:rPr>
            </w:pPr>
            <w:r w:rsidRPr="00F32446">
              <w:rPr>
                <w:rFonts w:ascii="Tahoma" w:hAnsi="Tahoma" w:cs="Tahoma"/>
                <w:color w:val="365F91" w:themeColor="accent1" w:themeShade="BF"/>
              </w:rPr>
              <w:t>0.31</w:t>
            </w:r>
          </w:p>
        </w:tc>
      </w:tr>
    </w:tbl>
    <w:p w:rsidR="003F49F6" w:rsidRPr="00507E23" w:rsidRDefault="003F49F6" w:rsidP="003F49F6">
      <w:pPr>
        <w:spacing w:before="0"/>
        <w:ind w:right="-62"/>
        <w:jc w:val="both"/>
        <w:rPr>
          <w:rFonts w:ascii="Tahoma" w:hAnsi="Tahoma" w:cs="Tahoma"/>
          <w:i/>
          <w:color w:val="000000"/>
          <w:sz w:val="16"/>
        </w:rPr>
      </w:pPr>
      <w:r w:rsidRPr="00507E23">
        <w:rPr>
          <w:rFonts w:ascii="Tahoma" w:hAnsi="Tahoma" w:cs="Tahoma"/>
          <w:i/>
          <w:color w:val="000000"/>
          <w:sz w:val="16"/>
        </w:rPr>
        <w:t>Source: VNSO HIES 2006, 2010</w:t>
      </w:r>
    </w:p>
    <w:p w:rsidR="003F49F6" w:rsidRDefault="003F49F6" w:rsidP="003F49F6">
      <w:pPr>
        <w:spacing w:before="0"/>
        <w:ind w:right="-62"/>
        <w:jc w:val="both"/>
        <w:rPr>
          <w:rFonts w:ascii="Tahoma" w:hAnsi="Tahoma" w:cs="Tahoma"/>
          <w:color w:val="000000"/>
        </w:rPr>
      </w:pPr>
      <w:r w:rsidRPr="00507E23">
        <w:rPr>
          <w:rFonts w:ascii="Tahoma" w:hAnsi="Tahoma" w:cs="Tahoma"/>
          <w:b/>
          <w:color w:val="365F91" w:themeColor="accent1" w:themeShade="BF"/>
        </w:rPr>
        <w:t>Other indicators show that poverty is the same or decreased by a small amount, or increased significantly as in Luganville.</w:t>
      </w:r>
      <w:r w:rsidRPr="00507E23">
        <w:rPr>
          <w:rFonts w:ascii="Tahoma" w:hAnsi="Tahoma" w:cs="Tahoma"/>
          <w:color w:val="365F91" w:themeColor="accent1" w:themeShade="BF"/>
        </w:rPr>
        <w:t xml:space="preserve"> </w:t>
      </w:r>
      <w:r w:rsidRPr="00507E23">
        <w:rPr>
          <w:rFonts w:ascii="Tahoma" w:hAnsi="Tahoma" w:cs="Tahoma"/>
          <w:color w:val="000000"/>
        </w:rPr>
        <w:t xml:space="preserve">When poverty is measured </w:t>
      </w:r>
      <w:r>
        <w:rPr>
          <w:rFonts w:ascii="Tahoma" w:hAnsi="Tahoma" w:cs="Tahoma"/>
          <w:color w:val="000000"/>
        </w:rPr>
        <w:t>at the</w:t>
      </w:r>
      <w:r w:rsidRPr="00507E23">
        <w:rPr>
          <w:rFonts w:ascii="Tahoma" w:hAnsi="Tahoma" w:cs="Tahoma"/>
          <w:color w:val="000000"/>
        </w:rPr>
        <w:t xml:space="preserve"> national poverty </w:t>
      </w:r>
      <w:r>
        <w:rPr>
          <w:rFonts w:ascii="Tahoma" w:hAnsi="Tahoma" w:cs="Tahoma"/>
          <w:color w:val="000000"/>
        </w:rPr>
        <w:t>level</w:t>
      </w:r>
      <w:r w:rsidRPr="00507E23">
        <w:rPr>
          <w:rFonts w:ascii="Tahoma" w:hAnsi="Tahoma" w:cs="Tahoma"/>
          <w:color w:val="000000"/>
        </w:rPr>
        <w:t xml:space="preserve"> there has been no real change in the incidence of poverty between 2006 and 2010; </w:t>
      </w:r>
      <w:r>
        <w:rPr>
          <w:rFonts w:ascii="Tahoma" w:hAnsi="Tahoma" w:cs="Tahoma"/>
          <w:color w:val="000000"/>
        </w:rPr>
        <w:t>in</w:t>
      </w:r>
      <w:r w:rsidRPr="00507E23">
        <w:rPr>
          <w:rFonts w:ascii="Tahoma" w:hAnsi="Tahoma" w:cs="Tahoma"/>
          <w:color w:val="000000"/>
        </w:rPr>
        <w:t xml:space="preserve"> Luganville the incidence of poverty has increased</w:t>
      </w:r>
      <w:r>
        <w:rPr>
          <w:rFonts w:ascii="Tahoma" w:hAnsi="Tahoma" w:cs="Tahoma"/>
          <w:color w:val="000000"/>
        </w:rPr>
        <w:t xml:space="preserve"> and in Port Vila the incidence of poverty decreased</w:t>
      </w:r>
      <w:r w:rsidRPr="00507E23">
        <w:rPr>
          <w:rFonts w:ascii="Tahoma" w:hAnsi="Tahoma" w:cs="Tahoma"/>
          <w:color w:val="000000"/>
        </w:rPr>
        <w:t xml:space="preserve">. </w:t>
      </w:r>
    </w:p>
    <w:p w:rsidR="006B4E65" w:rsidRPr="00603B86" w:rsidRDefault="006B4E65" w:rsidP="006B4E65">
      <w:pPr>
        <w:pStyle w:val="Caption"/>
      </w:pPr>
      <w:r w:rsidRPr="00603B86">
        <w:t xml:space="preserve">Figure </w:t>
      </w:r>
      <w:r w:rsidRPr="00603B86">
        <w:fldChar w:fldCharType="begin"/>
      </w:r>
      <w:r w:rsidRPr="00603B86">
        <w:instrText xml:space="preserve"> SEQ Figure \* ARABIC \s 1 </w:instrText>
      </w:r>
      <w:r w:rsidRPr="00603B86">
        <w:fldChar w:fldCharType="separate"/>
      </w:r>
      <w:r w:rsidR="00FC4ABF">
        <w:rPr>
          <w:noProof/>
        </w:rPr>
        <w:t>6</w:t>
      </w:r>
      <w:r w:rsidRPr="00603B86">
        <w:fldChar w:fldCharType="end"/>
      </w:r>
      <w:proofErr w:type="gramStart"/>
      <w:r w:rsidRPr="00603B86">
        <w:t xml:space="preserve"> </w:t>
      </w:r>
      <w:r>
        <w:t>Basic Needs Poverty Line (BNPL) composition</w:t>
      </w:r>
      <w:proofErr w:type="gramEnd"/>
      <w:r>
        <w:t xml:space="preserve">, incidence of poverty, region, 2006 &amp; </w:t>
      </w:r>
      <w:r w:rsidRPr="00603B86">
        <w:t>2010 HIES</w:t>
      </w:r>
    </w:p>
    <w:p w:rsidR="003F49F6" w:rsidRPr="00507E23" w:rsidRDefault="006B4E65" w:rsidP="00FA13A9">
      <w:pPr>
        <w:spacing w:before="0" w:after="0"/>
        <w:ind w:right="-62"/>
        <w:jc w:val="both"/>
        <w:rPr>
          <w:rFonts w:ascii="Tahoma" w:hAnsi="Tahoma" w:cs="Tahoma"/>
          <w:color w:val="000000"/>
        </w:rPr>
      </w:pPr>
      <w:r w:rsidRPr="006B4E65">
        <w:rPr>
          <w:noProof/>
          <w:lang w:eastAsia="en-NZ"/>
        </w:rPr>
        <w:drawing>
          <wp:inline distT="0" distB="0" distL="0" distR="0" wp14:anchorId="0FA6002E" wp14:editId="6E619856">
            <wp:extent cx="6412184" cy="4010025"/>
            <wp:effectExtent l="0" t="0" r="825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6417112" cy="4013107"/>
                    </a:xfrm>
                    <a:prstGeom prst="rect">
                      <a:avLst/>
                    </a:prstGeom>
                  </pic:spPr>
                </pic:pic>
              </a:graphicData>
            </a:graphic>
          </wp:inline>
        </w:drawing>
      </w:r>
    </w:p>
    <w:p w:rsidR="00FA13A9" w:rsidRPr="00507E23" w:rsidRDefault="00FA13A9" w:rsidP="00FA13A9">
      <w:pPr>
        <w:spacing w:before="0"/>
        <w:ind w:right="-62"/>
        <w:jc w:val="both"/>
        <w:rPr>
          <w:rFonts w:ascii="Tahoma" w:hAnsi="Tahoma" w:cs="Tahoma"/>
          <w:i/>
          <w:color w:val="000000"/>
          <w:sz w:val="16"/>
        </w:rPr>
      </w:pPr>
      <w:r w:rsidRPr="00507E23">
        <w:rPr>
          <w:rFonts w:ascii="Tahoma" w:hAnsi="Tahoma" w:cs="Tahoma"/>
          <w:i/>
          <w:color w:val="000000"/>
          <w:sz w:val="16"/>
        </w:rPr>
        <w:t>Source: VNSO HIES 2006, 2010</w:t>
      </w:r>
    </w:p>
    <w:p w:rsidR="001E4240" w:rsidRPr="003F49F6" w:rsidRDefault="003F49F6" w:rsidP="003F49F6">
      <w:pPr>
        <w:spacing w:before="0"/>
        <w:ind w:right="-62"/>
        <w:jc w:val="both"/>
        <w:rPr>
          <w:rFonts w:ascii="Tahoma" w:hAnsi="Tahoma" w:cs="Tahoma"/>
          <w:color w:val="000000"/>
        </w:rPr>
      </w:pPr>
      <w:r w:rsidRPr="00507E23">
        <w:rPr>
          <w:rFonts w:ascii="Tahoma" w:hAnsi="Tahoma" w:cs="Tahoma"/>
          <w:color w:val="000000"/>
        </w:rPr>
        <w:lastRenderedPageBreak/>
        <w:t>National poverty lines were developed from the 2006 and 2010 HIES data based on the average expenditure of the lowest 30% of households. Such poverty lines are considered to be relative poverty lines because the average expenditure of the lowest 30% of household’s changes over different time periods, in t</w:t>
      </w:r>
      <w:r>
        <w:rPr>
          <w:rFonts w:ascii="Tahoma" w:hAnsi="Tahoma" w:cs="Tahoma"/>
          <w:color w:val="000000"/>
        </w:rPr>
        <w:t xml:space="preserve">his case between 2006 and 2010. </w:t>
      </w:r>
    </w:p>
    <w:p w:rsidR="00854C29" w:rsidRPr="00DD657C" w:rsidRDefault="00854C29" w:rsidP="003D75C7">
      <w:pPr>
        <w:pStyle w:val="Heading1"/>
        <w:rPr>
          <w:spacing w:val="30"/>
        </w:rPr>
      </w:pPr>
      <w:r w:rsidRPr="00DD657C">
        <w:rPr>
          <w:spacing w:val="30"/>
        </w:rPr>
        <w:t xml:space="preserve">Attached: </w:t>
      </w:r>
    </w:p>
    <w:p w:rsidR="00854C29" w:rsidRPr="00507E23" w:rsidRDefault="001E4240" w:rsidP="003D75C7">
      <w:pPr>
        <w:ind w:left="360"/>
        <w:rPr>
          <w:rFonts w:ascii="Tahoma" w:hAnsi="Tahoma" w:cs="Tahoma"/>
        </w:rPr>
      </w:pPr>
      <w:r>
        <w:rPr>
          <w:rFonts w:ascii="Tahoma" w:hAnsi="Tahoma" w:cs="Tahoma"/>
        </w:rPr>
        <w:t>Table 1:</w:t>
      </w:r>
      <w:r w:rsidR="00854C29" w:rsidRPr="00507E23">
        <w:rPr>
          <w:rFonts w:ascii="Tahoma" w:hAnsi="Tahoma" w:cs="Tahoma"/>
        </w:rPr>
        <w:tab/>
        <w:t xml:space="preserve">Summary of </w:t>
      </w:r>
      <w:r>
        <w:rPr>
          <w:rFonts w:ascii="Tahoma" w:hAnsi="Tahoma" w:cs="Tahoma"/>
        </w:rPr>
        <w:t>household income</w:t>
      </w:r>
      <w:r w:rsidR="00FD053A">
        <w:rPr>
          <w:rFonts w:ascii="Tahoma" w:hAnsi="Tahoma" w:cs="Tahoma"/>
        </w:rPr>
        <w:t>,</w:t>
      </w:r>
      <w:r w:rsidR="00FD053A" w:rsidRPr="00FD053A">
        <w:rPr>
          <w:rFonts w:ascii="Tahoma" w:hAnsi="Tahoma" w:cs="Tahoma"/>
        </w:rPr>
        <w:t xml:space="preserve"> </w:t>
      </w:r>
      <w:proofErr w:type="gramStart"/>
      <w:r w:rsidR="00FD053A">
        <w:rPr>
          <w:rFonts w:ascii="Tahoma" w:hAnsi="Tahoma" w:cs="Tahoma"/>
        </w:rPr>
        <w:t>million Vatu, 2010</w:t>
      </w:r>
      <w:proofErr w:type="gramEnd"/>
      <w:r w:rsidR="00FD053A">
        <w:rPr>
          <w:rFonts w:ascii="Tahoma" w:hAnsi="Tahoma" w:cs="Tahoma"/>
        </w:rPr>
        <w:t xml:space="preserve"> HIES</w:t>
      </w:r>
    </w:p>
    <w:p w:rsidR="00854C29" w:rsidRPr="00507E23" w:rsidRDefault="00854C29" w:rsidP="003D75C7">
      <w:pPr>
        <w:ind w:left="360"/>
        <w:rPr>
          <w:rFonts w:ascii="Tahoma" w:hAnsi="Tahoma" w:cs="Tahoma"/>
        </w:rPr>
      </w:pPr>
      <w:r w:rsidRPr="00507E23">
        <w:rPr>
          <w:rFonts w:ascii="Tahoma" w:hAnsi="Tahoma" w:cs="Tahoma"/>
        </w:rPr>
        <w:t>Table 2:</w:t>
      </w:r>
      <w:r w:rsidRPr="00507E23">
        <w:rPr>
          <w:rFonts w:ascii="Tahoma" w:hAnsi="Tahoma" w:cs="Tahoma"/>
        </w:rPr>
        <w:tab/>
      </w:r>
      <w:r w:rsidR="001E4240">
        <w:rPr>
          <w:rFonts w:ascii="Tahoma" w:hAnsi="Tahoma" w:cs="Tahoma"/>
        </w:rPr>
        <w:t>Summary of household expenditure</w:t>
      </w:r>
      <w:r w:rsidR="00FD053A">
        <w:rPr>
          <w:rFonts w:ascii="Tahoma" w:hAnsi="Tahoma" w:cs="Tahoma"/>
        </w:rPr>
        <w:t xml:space="preserve">, </w:t>
      </w:r>
      <w:proofErr w:type="gramStart"/>
      <w:r w:rsidR="00FD053A">
        <w:rPr>
          <w:rFonts w:ascii="Tahoma" w:hAnsi="Tahoma" w:cs="Tahoma"/>
        </w:rPr>
        <w:t>million Vatu, 2010</w:t>
      </w:r>
      <w:proofErr w:type="gramEnd"/>
      <w:r w:rsidR="00FD053A">
        <w:rPr>
          <w:rFonts w:ascii="Tahoma" w:hAnsi="Tahoma" w:cs="Tahoma"/>
        </w:rPr>
        <w:t xml:space="preserve"> HIES</w:t>
      </w:r>
    </w:p>
    <w:p w:rsidR="00854C29" w:rsidRDefault="00854C29" w:rsidP="003D75C7">
      <w:pPr>
        <w:ind w:left="360"/>
        <w:rPr>
          <w:rFonts w:ascii="Tahoma" w:hAnsi="Tahoma" w:cs="Tahoma"/>
        </w:rPr>
      </w:pPr>
      <w:r w:rsidRPr="00507E23">
        <w:rPr>
          <w:rFonts w:ascii="Tahoma" w:hAnsi="Tahoma" w:cs="Tahoma"/>
        </w:rPr>
        <w:t>Table 3:</w:t>
      </w:r>
      <w:r w:rsidRPr="00507E23">
        <w:rPr>
          <w:rFonts w:ascii="Tahoma" w:hAnsi="Tahoma" w:cs="Tahoma"/>
        </w:rPr>
        <w:tab/>
      </w:r>
      <w:r w:rsidR="007A1E33">
        <w:rPr>
          <w:rFonts w:ascii="Tahoma" w:hAnsi="Tahoma" w:cs="Tahoma"/>
        </w:rPr>
        <w:t>Average household monthly expenditure, expenditure group</w:t>
      </w:r>
      <w:r w:rsidR="006D16A7">
        <w:rPr>
          <w:rFonts w:ascii="Tahoma" w:hAnsi="Tahoma" w:cs="Tahoma"/>
        </w:rPr>
        <w:t>, province, 2010 HIES</w:t>
      </w:r>
      <w:r w:rsidR="007A1E33">
        <w:rPr>
          <w:rFonts w:ascii="Tahoma" w:hAnsi="Tahoma" w:cs="Tahoma"/>
        </w:rPr>
        <w:t xml:space="preserve"> </w:t>
      </w:r>
    </w:p>
    <w:p w:rsidR="002C6357" w:rsidRDefault="002C6357" w:rsidP="002C6357">
      <w:pPr>
        <w:ind w:left="360"/>
        <w:rPr>
          <w:rFonts w:ascii="Tahoma" w:hAnsi="Tahoma" w:cs="Tahoma"/>
        </w:rPr>
      </w:pPr>
      <w:r w:rsidRPr="00507E23">
        <w:rPr>
          <w:rFonts w:ascii="Tahoma" w:hAnsi="Tahoma" w:cs="Tahoma"/>
        </w:rPr>
        <w:t xml:space="preserve">Table </w:t>
      </w:r>
      <w:r>
        <w:rPr>
          <w:rFonts w:ascii="Tahoma" w:hAnsi="Tahoma" w:cs="Tahoma"/>
        </w:rPr>
        <w:t>4</w:t>
      </w:r>
      <w:r w:rsidRPr="00507E23">
        <w:rPr>
          <w:rFonts w:ascii="Tahoma" w:hAnsi="Tahoma" w:cs="Tahoma"/>
        </w:rPr>
        <w:t>:</w:t>
      </w:r>
      <w:r w:rsidRPr="00507E23">
        <w:rPr>
          <w:rFonts w:ascii="Tahoma" w:hAnsi="Tahoma" w:cs="Tahoma"/>
        </w:rPr>
        <w:tab/>
      </w:r>
      <w:r>
        <w:rPr>
          <w:rFonts w:ascii="Tahoma" w:hAnsi="Tahoma" w:cs="Tahoma"/>
        </w:rPr>
        <w:t xml:space="preserve">Summary of relative standard errors, 2010 HIES </w:t>
      </w:r>
    </w:p>
    <w:p w:rsidR="00DD657C" w:rsidRPr="00507E23" w:rsidRDefault="00DD657C" w:rsidP="002C6357">
      <w:pPr>
        <w:ind w:left="360"/>
        <w:rPr>
          <w:rFonts w:ascii="Tahoma" w:hAnsi="Tahoma" w:cs="Tahoma"/>
        </w:rPr>
      </w:pPr>
    </w:p>
    <w:p w:rsidR="00854C29" w:rsidRPr="00DD657C" w:rsidRDefault="00854C29" w:rsidP="003D75C7">
      <w:pPr>
        <w:pStyle w:val="Heading1"/>
        <w:rPr>
          <w:spacing w:val="30"/>
        </w:rPr>
      </w:pPr>
      <w:r w:rsidRPr="00DD657C">
        <w:rPr>
          <w:spacing w:val="30"/>
        </w:rPr>
        <w:t>More information</w:t>
      </w:r>
    </w:p>
    <w:p w:rsidR="00854C29" w:rsidRPr="00507E23" w:rsidRDefault="00854C29" w:rsidP="003D75C7">
      <w:pPr>
        <w:rPr>
          <w:rFonts w:ascii="Tahoma" w:hAnsi="Tahoma" w:cs="Tahoma"/>
        </w:rPr>
      </w:pPr>
      <w:r w:rsidRPr="00507E23">
        <w:rPr>
          <w:rFonts w:ascii="Tahoma" w:hAnsi="Tahoma" w:cs="Tahoma"/>
        </w:rPr>
        <w:t>For statistical enquiries about this topic, please contact:</w:t>
      </w:r>
    </w:p>
    <w:p w:rsidR="00854C29" w:rsidRPr="00507E23" w:rsidRDefault="00854C29" w:rsidP="003D75C7">
      <w:pPr>
        <w:rPr>
          <w:rFonts w:ascii="Tahoma" w:hAnsi="Tahoma" w:cs="Tahoma"/>
        </w:rPr>
      </w:pPr>
      <w:r w:rsidRPr="00507E23">
        <w:rPr>
          <w:rFonts w:ascii="Tahoma" w:hAnsi="Tahoma" w:cs="Tahoma"/>
        </w:rPr>
        <w:t>National Statistics Office: (678) 22110/22111</w:t>
      </w:r>
      <w:r w:rsidR="00DD657C">
        <w:rPr>
          <w:rFonts w:ascii="Tahoma" w:hAnsi="Tahoma" w:cs="Tahoma"/>
        </w:rPr>
        <w:t xml:space="preserve">, </w:t>
      </w:r>
      <w:r w:rsidRPr="00507E23">
        <w:rPr>
          <w:rFonts w:ascii="Tahoma" w:hAnsi="Tahoma" w:cs="Tahoma"/>
        </w:rPr>
        <w:t xml:space="preserve">email: </w:t>
      </w:r>
      <w:hyperlink r:id="rId15" w:history="1">
        <w:r w:rsidRPr="00507E23">
          <w:rPr>
            <w:rStyle w:val="Hyperlink"/>
            <w:rFonts w:ascii="Tahoma" w:hAnsi="Tahoma" w:cs="Tahoma"/>
          </w:rPr>
          <w:t>stats@vanuatu.gov.vu</w:t>
        </w:r>
      </w:hyperlink>
    </w:p>
    <w:p w:rsidR="00854C29" w:rsidRPr="00507E23" w:rsidRDefault="00F9653C" w:rsidP="003D75C7">
      <w:pPr>
        <w:rPr>
          <w:rFonts w:ascii="Tahoma" w:hAnsi="Tahoma" w:cs="Tahoma"/>
          <w:b/>
          <w:bCs/>
        </w:rPr>
      </w:pPr>
      <w:r w:rsidRPr="00507E23">
        <w:rPr>
          <w:noProof/>
          <w:lang w:eastAsia="en-NZ"/>
        </w:rPr>
        <w:drawing>
          <wp:anchor distT="0" distB="0" distL="114300" distR="114300" simplePos="0" relativeHeight="251657728" behindDoc="1" locked="0" layoutInCell="1" allowOverlap="1">
            <wp:simplePos x="0" y="0"/>
            <wp:positionH relativeFrom="column">
              <wp:posOffset>-95250</wp:posOffset>
            </wp:positionH>
            <wp:positionV relativeFrom="paragraph">
              <wp:posOffset>289560</wp:posOffset>
            </wp:positionV>
            <wp:extent cx="3781425" cy="1571625"/>
            <wp:effectExtent l="19050" t="0" r="9525" b="0"/>
            <wp:wrapNone/>
            <wp:docPr id="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6"/>
                    <a:srcRect/>
                    <a:stretch>
                      <a:fillRect/>
                    </a:stretch>
                  </pic:blipFill>
                  <pic:spPr bwMode="auto">
                    <a:xfrm>
                      <a:off x="0" y="0"/>
                      <a:ext cx="3781425" cy="1571625"/>
                    </a:xfrm>
                    <a:prstGeom prst="rect">
                      <a:avLst/>
                    </a:prstGeom>
                    <a:noFill/>
                  </pic:spPr>
                </pic:pic>
              </a:graphicData>
            </a:graphic>
          </wp:anchor>
        </w:drawing>
      </w:r>
    </w:p>
    <w:p w:rsidR="00854C29" w:rsidRPr="00507E23" w:rsidRDefault="00854C29" w:rsidP="003D75C7">
      <w:pPr>
        <w:rPr>
          <w:rFonts w:ascii="Tahoma" w:hAnsi="Tahoma" w:cs="Tahoma"/>
          <w:b/>
          <w:bCs/>
        </w:rPr>
      </w:pPr>
    </w:p>
    <w:p w:rsidR="00854C29" w:rsidRPr="00507E23" w:rsidRDefault="00854C29" w:rsidP="003D75C7">
      <w:pPr>
        <w:rPr>
          <w:rFonts w:ascii="Tahoma" w:hAnsi="Tahoma" w:cs="Tahoma"/>
          <w:b/>
          <w:bCs/>
        </w:rPr>
      </w:pPr>
    </w:p>
    <w:p w:rsidR="00854C29" w:rsidRPr="00507E23" w:rsidRDefault="00854C29" w:rsidP="003D75C7">
      <w:pPr>
        <w:rPr>
          <w:rFonts w:ascii="Tahoma" w:hAnsi="Tahoma" w:cs="Tahoma"/>
          <w:b/>
          <w:bCs/>
        </w:rPr>
      </w:pPr>
    </w:p>
    <w:p w:rsidR="00854C29" w:rsidRPr="00507E23" w:rsidRDefault="00854C29">
      <w:pPr>
        <w:rPr>
          <w:rFonts w:cs="Times New Roman"/>
        </w:rPr>
      </w:pPr>
    </w:p>
    <w:p w:rsidR="00854C29" w:rsidRPr="00507E23" w:rsidRDefault="00854C29" w:rsidP="00495A4B">
      <w:pPr>
        <w:rPr>
          <w:rFonts w:cs="Times New Roman"/>
        </w:rPr>
      </w:pPr>
    </w:p>
    <w:p w:rsidR="00854C29" w:rsidRPr="00507E23" w:rsidRDefault="00854C29" w:rsidP="00495A4B">
      <w:pPr>
        <w:rPr>
          <w:rFonts w:ascii="Tahoma" w:hAnsi="Tahoma" w:cs="Tahoma"/>
          <w:b/>
          <w:bCs/>
        </w:rPr>
      </w:pPr>
      <w:r w:rsidRPr="00507E23">
        <w:rPr>
          <w:rFonts w:ascii="Tahoma" w:hAnsi="Tahoma" w:cs="Tahoma"/>
          <w:b/>
          <w:bCs/>
        </w:rPr>
        <w:t>Simil Johnson</w:t>
      </w:r>
      <w:r w:rsidRPr="00507E23">
        <w:rPr>
          <w:rFonts w:ascii="Tahoma" w:hAnsi="Tahoma" w:cs="Tahoma"/>
          <w:b/>
          <w:bCs/>
        </w:rPr>
        <w:br/>
        <w:t>Government Statistician</w:t>
      </w:r>
    </w:p>
    <w:p w:rsidR="00FD053A" w:rsidRDefault="00FD053A" w:rsidP="00495A4B">
      <w:pPr>
        <w:rPr>
          <w:rFonts w:cs="Times New Roman"/>
        </w:rPr>
        <w:sectPr w:rsidR="00FD053A" w:rsidSect="00FC4ABF">
          <w:headerReference w:type="default" r:id="rId17"/>
          <w:footerReference w:type="default" r:id="rId18"/>
          <w:headerReference w:type="first" r:id="rId19"/>
          <w:pgSz w:w="11906" w:h="16838"/>
          <w:pgMar w:top="1440" w:right="991" w:bottom="1080" w:left="1134" w:header="708" w:footer="708" w:gutter="0"/>
          <w:cols w:space="708"/>
          <w:titlePg/>
          <w:rtlGutter/>
          <w:docGrid w:linePitch="360"/>
        </w:sectPr>
      </w:pPr>
    </w:p>
    <w:p w:rsidR="00FA13A9" w:rsidRDefault="00FA13A9" w:rsidP="00FD053A">
      <w:pPr>
        <w:rPr>
          <w:rFonts w:ascii="Tahoma" w:hAnsi="Tahoma" w:cs="Tahoma"/>
          <w:b/>
        </w:rPr>
      </w:pPr>
    </w:p>
    <w:p w:rsidR="00FA13A9" w:rsidRDefault="00FA13A9" w:rsidP="00FD053A">
      <w:pPr>
        <w:rPr>
          <w:rFonts w:ascii="Tahoma" w:hAnsi="Tahoma" w:cs="Tahoma"/>
          <w:b/>
        </w:rPr>
      </w:pPr>
    </w:p>
    <w:p w:rsidR="00FD053A" w:rsidRPr="00FD053A" w:rsidRDefault="00FD053A" w:rsidP="00FD053A">
      <w:pPr>
        <w:rPr>
          <w:rFonts w:ascii="Tahoma" w:hAnsi="Tahoma" w:cs="Tahoma"/>
          <w:b/>
        </w:rPr>
      </w:pPr>
      <w:r w:rsidRPr="00FD053A">
        <w:rPr>
          <w:rFonts w:ascii="Tahoma" w:hAnsi="Tahoma" w:cs="Tahoma"/>
          <w:b/>
        </w:rPr>
        <w:t>Table 1:</w:t>
      </w:r>
      <w:r w:rsidRPr="00FD053A">
        <w:rPr>
          <w:rFonts w:ascii="Tahoma" w:hAnsi="Tahoma" w:cs="Tahoma"/>
          <w:b/>
        </w:rPr>
        <w:tab/>
        <w:t xml:space="preserve">Summary of household income, </w:t>
      </w:r>
      <w:proofErr w:type="gramStart"/>
      <w:r w:rsidRPr="00FD053A">
        <w:rPr>
          <w:rFonts w:ascii="Tahoma" w:hAnsi="Tahoma" w:cs="Tahoma"/>
          <w:b/>
        </w:rPr>
        <w:t>million Vatu, 2010</w:t>
      </w:r>
      <w:proofErr w:type="gramEnd"/>
      <w:r w:rsidRPr="00FD053A">
        <w:rPr>
          <w:rFonts w:ascii="Tahoma" w:hAnsi="Tahoma" w:cs="Tahoma"/>
          <w:b/>
        </w:rPr>
        <w:t xml:space="preserve"> HIES</w:t>
      </w:r>
    </w:p>
    <w:tbl>
      <w:tblPr>
        <w:tblW w:w="9603" w:type="dxa"/>
        <w:tblInd w:w="103" w:type="dxa"/>
        <w:tblLook w:val="04A0" w:firstRow="1" w:lastRow="0" w:firstColumn="1" w:lastColumn="0" w:noHBand="0" w:noVBand="1"/>
      </w:tblPr>
      <w:tblGrid>
        <w:gridCol w:w="3067"/>
        <w:gridCol w:w="1198"/>
        <w:gridCol w:w="980"/>
        <w:gridCol w:w="1198"/>
        <w:gridCol w:w="980"/>
        <w:gridCol w:w="1090"/>
        <w:gridCol w:w="1090"/>
      </w:tblGrid>
      <w:tr w:rsidR="0075764B" w:rsidRPr="00A1583F" w:rsidTr="00490847">
        <w:trPr>
          <w:trHeight w:val="294"/>
        </w:trPr>
        <w:tc>
          <w:tcPr>
            <w:tcW w:w="3067" w:type="dxa"/>
            <w:tcBorders>
              <w:top w:val="single" w:sz="4" w:space="0" w:color="auto"/>
              <w:left w:val="single" w:sz="4" w:space="0" w:color="auto"/>
              <w:bottom w:val="nil"/>
              <w:right w:val="single" w:sz="4" w:space="0" w:color="auto"/>
            </w:tcBorders>
            <w:shd w:val="clear" w:color="auto" w:fill="auto"/>
            <w:noWrap/>
            <w:vAlign w:val="bottom"/>
            <w:hideMark/>
          </w:tcPr>
          <w:p w:rsidR="0075764B" w:rsidRPr="00A1583F" w:rsidRDefault="0075764B" w:rsidP="0075764B">
            <w:pPr>
              <w:spacing w:before="40" w:after="40" w:line="240" w:lineRule="auto"/>
              <w:rPr>
                <w:rFonts w:cstheme="minorHAnsi"/>
                <w:b/>
                <w:sz w:val="18"/>
                <w:szCs w:val="18"/>
                <w:lang w:val="en-US"/>
              </w:rPr>
            </w:pPr>
            <w:r w:rsidRPr="00A1583F">
              <w:rPr>
                <w:rFonts w:cstheme="minorHAnsi"/>
                <w:b/>
                <w:sz w:val="18"/>
                <w:szCs w:val="18"/>
                <w:lang w:val="en-US"/>
              </w:rPr>
              <w:t> </w:t>
            </w:r>
          </w:p>
        </w:tc>
        <w:tc>
          <w:tcPr>
            <w:tcW w:w="2178" w:type="dxa"/>
            <w:gridSpan w:val="2"/>
            <w:tcBorders>
              <w:top w:val="single" w:sz="4" w:space="0" w:color="auto"/>
              <w:left w:val="single" w:sz="4" w:space="0" w:color="auto"/>
              <w:bottom w:val="nil"/>
              <w:right w:val="single" w:sz="4" w:space="0" w:color="000000"/>
            </w:tcBorders>
            <w:shd w:val="clear" w:color="auto" w:fill="auto"/>
            <w:noWrap/>
            <w:vAlign w:val="bottom"/>
            <w:hideMark/>
          </w:tcPr>
          <w:p w:rsidR="0075764B" w:rsidRPr="00A1583F" w:rsidRDefault="0075764B" w:rsidP="0075764B">
            <w:pPr>
              <w:spacing w:before="40" w:after="40" w:line="240" w:lineRule="auto"/>
              <w:jc w:val="center"/>
              <w:rPr>
                <w:rFonts w:cstheme="minorHAnsi"/>
                <w:b/>
                <w:sz w:val="18"/>
                <w:szCs w:val="18"/>
                <w:lang w:val="en-US"/>
              </w:rPr>
            </w:pPr>
            <w:r w:rsidRPr="00A1583F">
              <w:rPr>
                <w:rFonts w:cstheme="minorHAnsi"/>
                <w:b/>
                <w:sz w:val="18"/>
                <w:szCs w:val="18"/>
                <w:lang w:val="en-US"/>
              </w:rPr>
              <w:t>Rural</w:t>
            </w:r>
          </w:p>
        </w:tc>
        <w:tc>
          <w:tcPr>
            <w:tcW w:w="2178" w:type="dxa"/>
            <w:gridSpan w:val="2"/>
            <w:tcBorders>
              <w:top w:val="single" w:sz="4" w:space="0" w:color="auto"/>
              <w:left w:val="single" w:sz="4" w:space="0" w:color="auto"/>
              <w:bottom w:val="nil"/>
              <w:right w:val="single" w:sz="4" w:space="0" w:color="000000"/>
            </w:tcBorders>
            <w:shd w:val="clear" w:color="auto" w:fill="auto"/>
            <w:noWrap/>
            <w:vAlign w:val="bottom"/>
            <w:hideMark/>
          </w:tcPr>
          <w:p w:rsidR="0075764B" w:rsidRPr="00A1583F" w:rsidRDefault="0075764B" w:rsidP="0075764B">
            <w:pPr>
              <w:spacing w:before="40" w:after="40" w:line="240" w:lineRule="auto"/>
              <w:jc w:val="center"/>
              <w:rPr>
                <w:rFonts w:cstheme="minorHAnsi"/>
                <w:b/>
                <w:sz w:val="18"/>
                <w:szCs w:val="18"/>
                <w:lang w:val="en-US"/>
              </w:rPr>
            </w:pPr>
            <w:r w:rsidRPr="00A1583F">
              <w:rPr>
                <w:rFonts w:cstheme="minorHAnsi"/>
                <w:b/>
                <w:sz w:val="18"/>
                <w:szCs w:val="18"/>
                <w:lang w:val="en-US"/>
              </w:rPr>
              <w:t>Urban</w:t>
            </w:r>
          </w:p>
        </w:tc>
        <w:tc>
          <w:tcPr>
            <w:tcW w:w="2180" w:type="dxa"/>
            <w:gridSpan w:val="2"/>
            <w:tcBorders>
              <w:top w:val="single" w:sz="4" w:space="0" w:color="auto"/>
              <w:left w:val="nil"/>
              <w:bottom w:val="nil"/>
              <w:right w:val="single" w:sz="4" w:space="0" w:color="000000"/>
            </w:tcBorders>
            <w:shd w:val="clear" w:color="auto" w:fill="auto"/>
            <w:noWrap/>
            <w:vAlign w:val="bottom"/>
            <w:hideMark/>
          </w:tcPr>
          <w:p w:rsidR="0075764B" w:rsidRPr="00A1583F" w:rsidRDefault="0075764B" w:rsidP="0075764B">
            <w:pPr>
              <w:spacing w:before="40" w:after="40" w:line="240" w:lineRule="auto"/>
              <w:jc w:val="center"/>
              <w:rPr>
                <w:rFonts w:cstheme="minorHAnsi"/>
                <w:b/>
                <w:sz w:val="18"/>
                <w:szCs w:val="18"/>
                <w:lang w:val="en-US"/>
              </w:rPr>
            </w:pPr>
            <w:r w:rsidRPr="00A1583F">
              <w:rPr>
                <w:rFonts w:cstheme="minorHAnsi"/>
                <w:b/>
                <w:sz w:val="18"/>
                <w:szCs w:val="18"/>
                <w:lang w:val="en-US"/>
              </w:rPr>
              <w:t>Vanuatu</w:t>
            </w:r>
          </w:p>
        </w:tc>
      </w:tr>
      <w:tr w:rsidR="0075764B" w:rsidRPr="00A1583F" w:rsidTr="00490847">
        <w:trPr>
          <w:trHeight w:val="294"/>
        </w:trPr>
        <w:tc>
          <w:tcPr>
            <w:tcW w:w="3067" w:type="dxa"/>
            <w:tcBorders>
              <w:top w:val="nil"/>
              <w:left w:val="single" w:sz="4" w:space="0" w:color="auto"/>
              <w:bottom w:val="single" w:sz="4" w:space="0" w:color="auto"/>
              <w:right w:val="single" w:sz="4" w:space="0" w:color="auto"/>
            </w:tcBorders>
            <w:shd w:val="clear" w:color="auto" w:fill="auto"/>
            <w:noWrap/>
            <w:vAlign w:val="bottom"/>
            <w:hideMark/>
          </w:tcPr>
          <w:p w:rsidR="0075764B" w:rsidRPr="00A1583F" w:rsidRDefault="0075764B" w:rsidP="0075764B">
            <w:pPr>
              <w:spacing w:before="40" w:after="40" w:line="240" w:lineRule="auto"/>
              <w:rPr>
                <w:rFonts w:cstheme="minorHAnsi"/>
                <w:b/>
                <w:sz w:val="18"/>
                <w:szCs w:val="18"/>
                <w:lang w:val="en-US"/>
              </w:rPr>
            </w:pPr>
            <w:r w:rsidRPr="00A1583F">
              <w:rPr>
                <w:rFonts w:cstheme="minorHAnsi"/>
                <w:b/>
                <w:sz w:val="18"/>
                <w:szCs w:val="18"/>
                <w:lang w:val="en-US"/>
              </w:rPr>
              <w:t>Source of income</w:t>
            </w:r>
          </w:p>
        </w:tc>
        <w:tc>
          <w:tcPr>
            <w:tcW w:w="1198" w:type="dxa"/>
            <w:tcBorders>
              <w:top w:val="nil"/>
              <w:left w:val="nil"/>
              <w:bottom w:val="single" w:sz="4" w:space="0" w:color="auto"/>
              <w:right w:val="nil"/>
            </w:tcBorders>
            <w:shd w:val="clear" w:color="auto" w:fill="auto"/>
            <w:noWrap/>
            <w:vAlign w:val="bottom"/>
            <w:hideMark/>
          </w:tcPr>
          <w:p w:rsidR="0075764B" w:rsidRPr="00A1583F" w:rsidRDefault="0075764B" w:rsidP="0075764B">
            <w:pPr>
              <w:spacing w:before="40" w:after="40" w:line="240" w:lineRule="auto"/>
              <w:jc w:val="right"/>
              <w:rPr>
                <w:rFonts w:cstheme="minorHAnsi"/>
                <w:b/>
                <w:sz w:val="18"/>
                <w:szCs w:val="18"/>
                <w:lang w:val="en-US"/>
              </w:rPr>
            </w:pPr>
            <w:r w:rsidRPr="00A1583F">
              <w:rPr>
                <w:rFonts w:cstheme="minorHAnsi"/>
                <w:b/>
                <w:sz w:val="18"/>
                <w:szCs w:val="18"/>
                <w:lang w:val="en-US"/>
              </w:rPr>
              <w:t>Annual</w:t>
            </w:r>
          </w:p>
        </w:tc>
        <w:tc>
          <w:tcPr>
            <w:tcW w:w="980" w:type="dxa"/>
            <w:tcBorders>
              <w:top w:val="nil"/>
              <w:left w:val="nil"/>
              <w:bottom w:val="single" w:sz="4" w:space="0" w:color="auto"/>
              <w:right w:val="single" w:sz="4" w:space="0" w:color="auto"/>
            </w:tcBorders>
            <w:shd w:val="clear" w:color="auto" w:fill="auto"/>
            <w:noWrap/>
            <w:vAlign w:val="bottom"/>
            <w:hideMark/>
          </w:tcPr>
          <w:p w:rsidR="0075764B" w:rsidRPr="00A1583F" w:rsidRDefault="0075764B" w:rsidP="0075764B">
            <w:pPr>
              <w:spacing w:before="40" w:after="40" w:line="240" w:lineRule="auto"/>
              <w:jc w:val="right"/>
              <w:rPr>
                <w:rFonts w:cstheme="minorHAnsi"/>
                <w:b/>
                <w:sz w:val="18"/>
                <w:szCs w:val="18"/>
                <w:lang w:val="en-US"/>
              </w:rPr>
            </w:pPr>
            <w:r w:rsidRPr="00A1583F">
              <w:rPr>
                <w:rFonts w:cstheme="minorHAnsi"/>
                <w:b/>
                <w:sz w:val="18"/>
                <w:szCs w:val="18"/>
                <w:lang w:val="en-US"/>
              </w:rPr>
              <w:t>Month</w:t>
            </w:r>
          </w:p>
        </w:tc>
        <w:tc>
          <w:tcPr>
            <w:tcW w:w="1198" w:type="dxa"/>
            <w:tcBorders>
              <w:top w:val="nil"/>
              <w:left w:val="nil"/>
              <w:bottom w:val="single" w:sz="4" w:space="0" w:color="auto"/>
              <w:right w:val="nil"/>
            </w:tcBorders>
            <w:shd w:val="clear" w:color="auto" w:fill="auto"/>
            <w:noWrap/>
            <w:vAlign w:val="bottom"/>
            <w:hideMark/>
          </w:tcPr>
          <w:p w:rsidR="0075764B" w:rsidRPr="00A1583F" w:rsidRDefault="0075764B" w:rsidP="0075764B">
            <w:pPr>
              <w:spacing w:before="40" w:after="40" w:line="240" w:lineRule="auto"/>
              <w:jc w:val="right"/>
              <w:rPr>
                <w:rFonts w:cstheme="minorHAnsi"/>
                <w:b/>
                <w:sz w:val="18"/>
                <w:szCs w:val="18"/>
                <w:lang w:val="en-US"/>
              </w:rPr>
            </w:pPr>
            <w:r w:rsidRPr="00A1583F">
              <w:rPr>
                <w:rFonts w:cstheme="minorHAnsi"/>
                <w:b/>
                <w:sz w:val="18"/>
                <w:szCs w:val="18"/>
                <w:lang w:val="en-US"/>
              </w:rPr>
              <w:t>Annual</w:t>
            </w:r>
          </w:p>
        </w:tc>
        <w:tc>
          <w:tcPr>
            <w:tcW w:w="980" w:type="dxa"/>
            <w:tcBorders>
              <w:top w:val="nil"/>
              <w:left w:val="nil"/>
              <w:bottom w:val="single" w:sz="4" w:space="0" w:color="auto"/>
              <w:right w:val="single" w:sz="4" w:space="0" w:color="auto"/>
            </w:tcBorders>
            <w:shd w:val="clear" w:color="auto" w:fill="auto"/>
            <w:noWrap/>
            <w:vAlign w:val="bottom"/>
            <w:hideMark/>
          </w:tcPr>
          <w:p w:rsidR="0075764B" w:rsidRPr="00A1583F" w:rsidRDefault="0075764B" w:rsidP="0075764B">
            <w:pPr>
              <w:spacing w:before="40" w:after="40" w:line="240" w:lineRule="auto"/>
              <w:jc w:val="right"/>
              <w:rPr>
                <w:rFonts w:cstheme="minorHAnsi"/>
                <w:b/>
                <w:sz w:val="18"/>
                <w:szCs w:val="18"/>
                <w:lang w:val="en-US"/>
              </w:rPr>
            </w:pPr>
            <w:r w:rsidRPr="00A1583F">
              <w:rPr>
                <w:rFonts w:cstheme="minorHAnsi"/>
                <w:b/>
                <w:sz w:val="18"/>
                <w:szCs w:val="18"/>
                <w:lang w:val="en-US"/>
              </w:rPr>
              <w:t>Month</w:t>
            </w:r>
          </w:p>
        </w:tc>
        <w:tc>
          <w:tcPr>
            <w:tcW w:w="1090" w:type="dxa"/>
            <w:tcBorders>
              <w:top w:val="nil"/>
              <w:left w:val="nil"/>
              <w:bottom w:val="single" w:sz="4" w:space="0" w:color="auto"/>
              <w:right w:val="nil"/>
            </w:tcBorders>
            <w:shd w:val="clear" w:color="auto" w:fill="auto"/>
            <w:noWrap/>
            <w:vAlign w:val="bottom"/>
            <w:hideMark/>
          </w:tcPr>
          <w:p w:rsidR="0075764B" w:rsidRPr="00A1583F" w:rsidRDefault="0075764B" w:rsidP="0075764B">
            <w:pPr>
              <w:spacing w:before="40" w:after="40" w:line="240" w:lineRule="auto"/>
              <w:jc w:val="right"/>
              <w:rPr>
                <w:rFonts w:cstheme="minorHAnsi"/>
                <w:b/>
                <w:sz w:val="18"/>
                <w:szCs w:val="18"/>
                <w:lang w:val="en-US"/>
              </w:rPr>
            </w:pPr>
            <w:r w:rsidRPr="00A1583F">
              <w:rPr>
                <w:rFonts w:cstheme="minorHAnsi"/>
                <w:b/>
                <w:sz w:val="18"/>
                <w:szCs w:val="18"/>
                <w:lang w:val="en-US"/>
              </w:rPr>
              <w:t>Annual</w:t>
            </w:r>
          </w:p>
        </w:tc>
        <w:tc>
          <w:tcPr>
            <w:tcW w:w="1090" w:type="dxa"/>
            <w:tcBorders>
              <w:top w:val="nil"/>
              <w:left w:val="nil"/>
              <w:bottom w:val="single" w:sz="4" w:space="0" w:color="auto"/>
              <w:right w:val="single" w:sz="4" w:space="0" w:color="auto"/>
            </w:tcBorders>
            <w:shd w:val="clear" w:color="auto" w:fill="auto"/>
            <w:noWrap/>
            <w:vAlign w:val="bottom"/>
            <w:hideMark/>
          </w:tcPr>
          <w:p w:rsidR="0075764B" w:rsidRPr="00A1583F" w:rsidRDefault="0075764B" w:rsidP="0075764B">
            <w:pPr>
              <w:spacing w:before="40" w:after="40" w:line="240" w:lineRule="auto"/>
              <w:jc w:val="right"/>
              <w:rPr>
                <w:rFonts w:cstheme="minorHAnsi"/>
                <w:b/>
                <w:sz w:val="18"/>
                <w:szCs w:val="18"/>
                <w:lang w:val="en-US"/>
              </w:rPr>
            </w:pPr>
            <w:r w:rsidRPr="00A1583F">
              <w:rPr>
                <w:rFonts w:cstheme="minorHAnsi"/>
                <w:b/>
                <w:sz w:val="18"/>
                <w:szCs w:val="18"/>
                <w:lang w:val="en-US"/>
              </w:rPr>
              <w:t>Month</w:t>
            </w:r>
          </w:p>
        </w:tc>
      </w:tr>
      <w:tr w:rsidR="0075764B" w:rsidRPr="00A1583F" w:rsidTr="00490847">
        <w:trPr>
          <w:trHeight w:val="294"/>
        </w:trPr>
        <w:tc>
          <w:tcPr>
            <w:tcW w:w="3067" w:type="dxa"/>
            <w:tcBorders>
              <w:top w:val="nil"/>
              <w:left w:val="single" w:sz="4" w:space="0" w:color="auto"/>
              <w:bottom w:val="nil"/>
              <w:right w:val="single" w:sz="4" w:space="0" w:color="auto"/>
            </w:tcBorders>
            <w:shd w:val="clear" w:color="auto" w:fill="auto"/>
            <w:noWrap/>
            <w:vAlign w:val="bottom"/>
            <w:hideMark/>
          </w:tcPr>
          <w:p w:rsidR="0075764B" w:rsidRPr="00A1583F" w:rsidRDefault="0075764B" w:rsidP="0075764B">
            <w:pPr>
              <w:spacing w:before="40" w:after="40" w:line="240" w:lineRule="auto"/>
              <w:rPr>
                <w:rFonts w:cstheme="minorHAnsi"/>
                <w:sz w:val="18"/>
                <w:szCs w:val="18"/>
                <w:lang w:val="en-US"/>
              </w:rPr>
            </w:pPr>
            <w:r w:rsidRPr="00A1583F">
              <w:rPr>
                <w:rFonts w:cstheme="minorHAnsi"/>
                <w:sz w:val="18"/>
                <w:szCs w:val="18"/>
                <w:lang w:val="en-US"/>
              </w:rPr>
              <w:t>Wages &amp; salaries</w:t>
            </w:r>
          </w:p>
        </w:tc>
        <w:tc>
          <w:tcPr>
            <w:tcW w:w="1198" w:type="dxa"/>
            <w:tcBorders>
              <w:top w:val="nil"/>
              <w:left w:val="nil"/>
              <w:bottom w:val="nil"/>
              <w:right w:val="nil"/>
            </w:tcBorders>
            <w:shd w:val="clear" w:color="auto" w:fill="auto"/>
            <w:noWrap/>
            <w:vAlign w:val="bottom"/>
            <w:hideMark/>
          </w:tcPr>
          <w:p w:rsidR="0075764B" w:rsidRPr="00A1583F" w:rsidRDefault="0075764B" w:rsidP="0075764B">
            <w:pPr>
              <w:spacing w:before="40" w:after="40" w:line="240" w:lineRule="auto"/>
              <w:jc w:val="right"/>
              <w:rPr>
                <w:rFonts w:cstheme="minorHAnsi"/>
                <w:sz w:val="18"/>
                <w:szCs w:val="18"/>
              </w:rPr>
            </w:pPr>
            <w:r w:rsidRPr="00A1583F">
              <w:rPr>
                <w:rFonts w:cstheme="minorHAnsi"/>
                <w:sz w:val="18"/>
                <w:szCs w:val="18"/>
                <w:lang w:val="en-US"/>
              </w:rPr>
              <w:t>8,909</w:t>
            </w:r>
          </w:p>
        </w:tc>
        <w:tc>
          <w:tcPr>
            <w:tcW w:w="980" w:type="dxa"/>
            <w:tcBorders>
              <w:top w:val="nil"/>
              <w:left w:val="nil"/>
              <w:bottom w:val="nil"/>
              <w:right w:val="single" w:sz="4" w:space="0" w:color="auto"/>
            </w:tcBorders>
            <w:shd w:val="clear" w:color="auto" w:fill="auto"/>
            <w:noWrap/>
            <w:vAlign w:val="bottom"/>
            <w:hideMark/>
          </w:tcPr>
          <w:p w:rsidR="0075764B" w:rsidRPr="00A1583F" w:rsidRDefault="0075764B" w:rsidP="0075764B">
            <w:pPr>
              <w:spacing w:before="40" w:after="40" w:line="240" w:lineRule="auto"/>
              <w:jc w:val="right"/>
              <w:rPr>
                <w:rFonts w:cstheme="minorHAnsi"/>
                <w:sz w:val="18"/>
                <w:szCs w:val="18"/>
              </w:rPr>
            </w:pPr>
            <w:r w:rsidRPr="00A1583F">
              <w:rPr>
                <w:rFonts w:cstheme="minorHAnsi"/>
                <w:sz w:val="18"/>
                <w:szCs w:val="18"/>
                <w:lang w:val="en-US"/>
              </w:rPr>
              <w:t>742</w:t>
            </w:r>
          </w:p>
        </w:tc>
        <w:tc>
          <w:tcPr>
            <w:tcW w:w="1198" w:type="dxa"/>
            <w:tcBorders>
              <w:top w:val="nil"/>
              <w:left w:val="nil"/>
              <w:bottom w:val="nil"/>
              <w:right w:val="nil"/>
            </w:tcBorders>
            <w:shd w:val="clear" w:color="auto" w:fill="auto"/>
            <w:noWrap/>
            <w:vAlign w:val="bottom"/>
            <w:hideMark/>
          </w:tcPr>
          <w:p w:rsidR="0075764B" w:rsidRPr="00A1583F" w:rsidRDefault="0075764B" w:rsidP="0075764B">
            <w:pPr>
              <w:spacing w:before="40" w:after="40" w:line="240" w:lineRule="auto"/>
              <w:jc w:val="right"/>
              <w:rPr>
                <w:rFonts w:cstheme="minorHAnsi"/>
                <w:sz w:val="18"/>
                <w:szCs w:val="18"/>
              </w:rPr>
            </w:pPr>
            <w:r w:rsidRPr="00A1583F">
              <w:rPr>
                <w:rFonts w:cstheme="minorHAnsi"/>
                <w:sz w:val="18"/>
                <w:szCs w:val="18"/>
                <w:lang w:val="en-US"/>
              </w:rPr>
              <w:t>10,594</w:t>
            </w:r>
          </w:p>
        </w:tc>
        <w:tc>
          <w:tcPr>
            <w:tcW w:w="980" w:type="dxa"/>
            <w:tcBorders>
              <w:top w:val="nil"/>
              <w:left w:val="nil"/>
              <w:bottom w:val="nil"/>
              <w:right w:val="single" w:sz="4" w:space="0" w:color="auto"/>
            </w:tcBorders>
            <w:shd w:val="clear" w:color="auto" w:fill="auto"/>
            <w:noWrap/>
            <w:vAlign w:val="bottom"/>
            <w:hideMark/>
          </w:tcPr>
          <w:p w:rsidR="0075764B" w:rsidRPr="00A1583F" w:rsidRDefault="0075764B" w:rsidP="0075764B">
            <w:pPr>
              <w:spacing w:before="40" w:after="40" w:line="240" w:lineRule="auto"/>
              <w:jc w:val="right"/>
              <w:rPr>
                <w:rFonts w:cstheme="minorHAnsi"/>
                <w:sz w:val="18"/>
                <w:szCs w:val="18"/>
              </w:rPr>
            </w:pPr>
            <w:r w:rsidRPr="00A1583F">
              <w:rPr>
                <w:rFonts w:cstheme="minorHAnsi"/>
                <w:sz w:val="18"/>
                <w:szCs w:val="18"/>
                <w:lang w:val="en-US"/>
              </w:rPr>
              <w:t>883</w:t>
            </w:r>
          </w:p>
        </w:tc>
        <w:tc>
          <w:tcPr>
            <w:tcW w:w="1090" w:type="dxa"/>
            <w:tcBorders>
              <w:top w:val="nil"/>
              <w:left w:val="nil"/>
              <w:bottom w:val="nil"/>
              <w:right w:val="nil"/>
            </w:tcBorders>
            <w:shd w:val="clear" w:color="auto" w:fill="auto"/>
            <w:noWrap/>
            <w:vAlign w:val="bottom"/>
            <w:hideMark/>
          </w:tcPr>
          <w:p w:rsidR="0075764B" w:rsidRPr="00A1583F" w:rsidRDefault="0075764B" w:rsidP="0075764B">
            <w:pPr>
              <w:spacing w:before="40" w:after="40" w:line="240" w:lineRule="auto"/>
              <w:jc w:val="right"/>
              <w:rPr>
                <w:rFonts w:cstheme="minorHAnsi"/>
                <w:sz w:val="18"/>
                <w:szCs w:val="18"/>
              </w:rPr>
            </w:pPr>
            <w:r w:rsidRPr="00A1583F">
              <w:rPr>
                <w:rFonts w:cstheme="minorHAnsi"/>
                <w:sz w:val="18"/>
                <w:szCs w:val="18"/>
                <w:lang w:val="en-US"/>
              </w:rPr>
              <w:t>19,503</w:t>
            </w:r>
          </w:p>
        </w:tc>
        <w:tc>
          <w:tcPr>
            <w:tcW w:w="1090" w:type="dxa"/>
            <w:tcBorders>
              <w:top w:val="nil"/>
              <w:left w:val="nil"/>
              <w:bottom w:val="nil"/>
              <w:right w:val="single" w:sz="4" w:space="0" w:color="auto"/>
            </w:tcBorders>
            <w:shd w:val="clear" w:color="auto" w:fill="auto"/>
            <w:noWrap/>
            <w:vAlign w:val="bottom"/>
            <w:hideMark/>
          </w:tcPr>
          <w:p w:rsidR="0075764B" w:rsidRPr="00A1583F" w:rsidRDefault="0075764B" w:rsidP="0075764B">
            <w:pPr>
              <w:spacing w:before="40" w:after="40" w:line="240" w:lineRule="auto"/>
              <w:jc w:val="right"/>
              <w:rPr>
                <w:rFonts w:cstheme="minorHAnsi"/>
                <w:sz w:val="18"/>
                <w:szCs w:val="18"/>
              </w:rPr>
            </w:pPr>
            <w:r w:rsidRPr="00A1583F">
              <w:rPr>
                <w:rFonts w:cstheme="minorHAnsi"/>
                <w:sz w:val="18"/>
                <w:szCs w:val="18"/>
                <w:lang w:val="en-US"/>
              </w:rPr>
              <w:t>1,625</w:t>
            </w:r>
          </w:p>
        </w:tc>
      </w:tr>
      <w:tr w:rsidR="0075764B" w:rsidRPr="00A1583F" w:rsidTr="00490847">
        <w:trPr>
          <w:trHeight w:val="294"/>
        </w:trPr>
        <w:tc>
          <w:tcPr>
            <w:tcW w:w="3067" w:type="dxa"/>
            <w:tcBorders>
              <w:top w:val="nil"/>
              <w:left w:val="single" w:sz="4" w:space="0" w:color="auto"/>
              <w:bottom w:val="nil"/>
              <w:right w:val="single" w:sz="4" w:space="0" w:color="auto"/>
            </w:tcBorders>
            <w:shd w:val="clear" w:color="auto" w:fill="auto"/>
            <w:noWrap/>
            <w:vAlign w:val="bottom"/>
            <w:hideMark/>
          </w:tcPr>
          <w:p w:rsidR="0075764B" w:rsidRPr="00A1583F" w:rsidRDefault="0075764B" w:rsidP="0075764B">
            <w:pPr>
              <w:spacing w:before="40" w:after="40" w:line="240" w:lineRule="auto"/>
              <w:rPr>
                <w:rFonts w:cstheme="minorHAnsi"/>
                <w:sz w:val="18"/>
                <w:szCs w:val="18"/>
                <w:lang w:val="en-US"/>
              </w:rPr>
            </w:pPr>
            <w:r w:rsidRPr="00A1583F">
              <w:rPr>
                <w:rFonts w:cstheme="minorHAnsi"/>
                <w:sz w:val="18"/>
                <w:szCs w:val="18"/>
                <w:lang w:val="en-US"/>
              </w:rPr>
              <w:t>Home consumption</w:t>
            </w:r>
          </w:p>
        </w:tc>
        <w:tc>
          <w:tcPr>
            <w:tcW w:w="1198" w:type="dxa"/>
            <w:tcBorders>
              <w:top w:val="nil"/>
              <w:left w:val="nil"/>
              <w:bottom w:val="nil"/>
              <w:right w:val="nil"/>
            </w:tcBorders>
            <w:shd w:val="clear" w:color="auto" w:fill="auto"/>
            <w:noWrap/>
            <w:vAlign w:val="bottom"/>
            <w:hideMark/>
          </w:tcPr>
          <w:p w:rsidR="0075764B" w:rsidRPr="00A1583F" w:rsidRDefault="0075764B" w:rsidP="0075764B">
            <w:pPr>
              <w:spacing w:before="40" w:after="40" w:line="240" w:lineRule="auto"/>
              <w:jc w:val="right"/>
              <w:rPr>
                <w:rFonts w:cstheme="minorHAnsi"/>
                <w:sz w:val="18"/>
                <w:szCs w:val="18"/>
              </w:rPr>
            </w:pPr>
            <w:r w:rsidRPr="00A1583F">
              <w:rPr>
                <w:rFonts w:cstheme="minorHAnsi"/>
                <w:sz w:val="18"/>
                <w:szCs w:val="18"/>
                <w:lang w:val="en-US"/>
              </w:rPr>
              <w:t>13,972</w:t>
            </w:r>
          </w:p>
        </w:tc>
        <w:tc>
          <w:tcPr>
            <w:tcW w:w="980" w:type="dxa"/>
            <w:tcBorders>
              <w:top w:val="nil"/>
              <w:left w:val="nil"/>
              <w:bottom w:val="nil"/>
              <w:right w:val="single" w:sz="4" w:space="0" w:color="auto"/>
            </w:tcBorders>
            <w:shd w:val="clear" w:color="auto" w:fill="auto"/>
            <w:noWrap/>
            <w:vAlign w:val="bottom"/>
            <w:hideMark/>
          </w:tcPr>
          <w:p w:rsidR="0075764B" w:rsidRPr="00A1583F" w:rsidRDefault="0075764B" w:rsidP="0075764B">
            <w:pPr>
              <w:spacing w:before="40" w:after="40" w:line="240" w:lineRule="auto"/>
              <w:jc w:val="right"/>
              <w:rPr>
                <w:rFonts w:cstheme="minorHAnsi"/>
                <w:sz w:val="18"/>
                <w:szCs w:val="18"/>
              </w:rPr>
            </w:pPr>
            <w:r w:rsidRPr="00A1583F">
              <w:rPr>
                <w:rFonts w:cstheme="minorHAnsi"/>
                <w:sz w:val="18"/>
                <w:szCs w:val="18"/>
                <w:lang w:val="en-US"/>
              </w:rPr>
              <w:t>1,164</w:t>
            </w:r>
          </w:p>
        </w:tc>
        <w:tc>
          <w:tcPr>
            <w:tcW w:w="1198" w:type="dxa"/>
            <w:tcBorders>
              <w:top w:val="nil"/>
              <w:left w:val="nil"/>
              <w:bottom w:val="nil"/>
              <w:right w:val="nil"/>
            </w:tcBorders>
            <w:shd w:val="clear" w:color="auto" w:fill="auto"/>
            <w:noWrap/>
            <w:vAlign w:val="bottom"/>
            <w:hideMark/>
          </w:tcPr>
          <w:p w:rsidR="0075764B" w:rsidRPr="00A1583F" w:rsidRDefault="0075764B" w:rsidP="0075764B">
            <w:pPr>
              <w:spacing w:before="40" w:after="40" w:line="240" w:lineRule="auto"/>
              <w:jc w:val="right"/>
              <w:rPr>
                <w:rFonts w:cstheme="minorHAnsi"/>
                <w:sz w:val="18"/>
                <w:szCs w:val="18"/>
              </w:rPr>
            </w:pPr>
            <w:r w:rsidRPr="00A1583F">
              <w:rPr>
                <w:rFonts w:cstheme="minorHAnsi"/>
                <w:sz w:val="18"/>
                <w:szCs w:val="18"/>
                <w:lang w:val="en-US"/>
              </w:rPr>
              <w:t>1,194</w:t>
            </w:r>
          </w:p>
        </w:tc>
        <w:tc>
          <w:tcPr>
            <w:tcW w:w="980" w:type="dxa"/>
            <w:tcBorders>
              <w:top w:val="nil"/>
              <w:left w:val="nil"/>
              <w:bottom w:val="nil"/>
              <w:right w:val="single" w:sz="4" w:space="0" w:color="auto"/>
            </w:tcBorders>
            <w:shd w:val="clear" w:color="auto" w:fill="auto"/>
            <w:noWrap/>
            <w:vAlign w:val="bottom"/>
            <w:hideMark/>
          </w:tcPr>
          <w:p w:rsidR="0075764B" w:rsidRPr="00A1583F" w:rsidRDefault="0075764B" w:rsidP="0075764B">
            <w:pPr>
              <w:spacing w:before="40" w:after="40" w:line="240" w:lineRule="auto"/>
              <w:jc w:val="right"/>
              <w:rPr>
                <w:rFonts w:cstheme="minorHAnsi"/>
                <w:sz w:val="18"/>
                <w:szCs w:val="18"/>
              </w:rPr>
            </w:pPr>
            <w:r w:rsidRPr="00A1583F">
              <w:rPr>
                <w:rFonts w:cstheme="minorHAnsi"/>
                <w:sz w:val="18"/>
                <w:szCs w:val="18"/>
                <w:lang w:val="en-US"/>
              </w:rPr>
              <w:t>99</w:t>
            </w:r>
          </w:p>
        </w:tc>
        <w:tc>
          <w:tcPr>
            <w:tcW w:w="1090" w:type="dxa"/>
            <w:tcBorders>
              <w:top w:val="nil"/>
              <w:left w:val="nil"/>
              <w:bottom w:val="nil"/>
              <w:right w:val="nil"/>
            </w:tcBorders>
            <w:shd w:val="clear" w:color="auto" w:fill="auto"/>
            <w:noWrap/>
            <w:vAlign w:val="bottom"/>
            <w:hideMark/>
          </w:tcPr>
          <w:p w:rsidR="0075764B" w:rsidRPr="00A1583F" w:rsidRDefault="0075764B" w:rsidP="0075764B">
            <w:pPr>
              <w:spacing w:before="40" w:after="40" w:line="240" w:lineRule="auto"/>
              <w:jc w:val="right"/>
              <w:rPr>
                <w:rFonts w:cstheme="minorHAnsi"/>
                <w:sz w:val="18"/>
                <w:szCs w:val="18"/>
              </w:rPr>
            </w:pPr>
            <w:r w:rsidRPr="00A1583F">
              <w:rPr>
                <w:rFonts w:cstheme="minorHAnsi"/>
                <w:sz w:val="18"/>
                <w:szCs w:val="18"/>
                <w:lang w:val="en-US"/>
              </w:rPr>
              <w:t>15,166</w:t>
            </w:r>
          </w:p>
        </w:tc>
        <w:tc>
          <w:tcPr>
            <w:tcW w:w="1090" w:type="dxa"/>
            <w:tcBorders>
              <w:top w:val="nil"/>
              <w:left w:val="nil"/>
              <w:bottom w:val="nil"/>
              <w:right w:val="single" w:sz="4" w:space="0" w:color="auto"/>
            </w:tcBorders>
            <w:shd w:val="clear" w:color="auto" w:fill="auto"/>
            <w:noWrap/>
            <w:vAlign w:val="bottom"/>
            <w:hideMark/>
          </w:tcPr>
          <w:p w:rsidR="0075764B" w:rsidRPr="00A1583F" w:rsidRDefault="0075764B" w:rsidP="0075764B">
            <w:pPr>
              <w:spacing w:before="40" w:after="40" w:line="240" w:lineRule="auto"/>
              <w:jc w:val="right"/>
              <w:rPr>
                <w:rFonts w:cstheme="minorHAnsi"/>
                <w:sz w:val="18"/>
                <w:szCs w:val="18"/>
              </w:rPr>
            </w:pPr>
            <w:r w:rsidRPr="00A1583F">
              <w:rPr>
                <w:rFonts w:cstheme="minorHAnsi"/>
                <w:sz w:val="18"/>
                <w:szCs w:val="18"/>
                <w:lang w:val="en-US"/>
              </w:rPr>
              <w:t>1,264</w:t>
            </w:r>
          </w:p>
        </w:tc>
      </w:tr>
      <w:tr w:rsidR="0075764B" w:rsidRPr="00A1583F" w:rsidTr="00490847">
        <w:trPr>
          <w:trHeight w:val="294"/>
        </w:trPr>
        <w:tc>
          <w:tcPr>
            <w:tcW w:w="3067" w:type="dxa"/>
            <w:tcBorders>
              <w:top w:val="nil"/>
              <w:left w:val="single" w:sz="4" w:space="0" w:color="auto"/>
              <w:bottom w:val="nil"/>
              <w:right w:val="single" w:sz="4" w:space="0" w:color="auto"/>
            </w:tcBorders>
            <w:shd w:val="clear" w:color="auto" w:fill="auto"/>
            <w:noWrap/>
            <w:vAlign w:val="bottom"/>
            <w:hideMark/>
          </w:tcPr>
          <w:p w:rsidR="0075764B" w:rsidRPr="00A1583F" w:rsidRDefault="0075764B" w:rsidP="0075764B">
            <w:pPr>
              <w:spacing w:before="40" w:after="40" w:line="240" w:lineRule="auto"/>
              <w:rPr>
                <w:rFonts w:cstheme="minorHAnsi"/>
                <w:sz w:val="18"/>
                <w:szCs w:val="18"/>
                <w:lang w:val="en-US"/>
              </w:rPr>
            </w:pPr>
            <w:r w:rsidRPr="00A1583F">
              <w:rPr>
                <w:rFonts w:cstheme="minorHAnsi"/>
                <w:sz w:val="18"/>
                <w:szCs w:val="18"/>
                <w:lang w:val="en-US"/>
              </w:rPr>
              <w:t>Household enterprise</w:t>
            </w:r>
          </w:p>
        </w:tc>
        <w:tc>
          <w:tcPr>
            <w:tcW w:w="1198" w:type="dxa"/>
            <w:tcBorders>
              <w:top w:val="nil"/>
              <w:left w:val="nil"/>
              <w:bottom w:val="nil"/>
              <w:right w:val="nil"/>
            </w:tcBorders>
            <w:shd w:val="clear" w:color="auto" w:fill="auto"/>
            <w:noWrap/>
            <w:vAlign w:val="bottom"/>
            <w:hideMark/>
          </w:tcPr>
          <w:p w:rsidR="0075764B" w:rsidRPr="00A1583F" w:rsidRDefault="0075764B" w:rsidP="0075764B">
            <w:pPr>
              <w:spacing w:before="40" w:after="40" w:line="240" w:lineRule="auto"/>
              <w:jc w:val="right"/>
              <w:rPr>
                <w:rFonts w:cstheme="minorHAnsi"/>
                <w:sz w:val="18"/>
                <w:szCs w:val="18"/>
              </w:rPr>
            </w:pPr>
            <w:r w:rsidRPr="00A1583F">
              <w:rPr>
                <w:rFonts w:cstheme="minorHAnsi"/>
                <w:sz w:val="18"/>
                <w:szCs w:val="18"/>
              </w:rPr>
              <w:t>11,441</w:t>
            </w:r>
          </w:p>
        </w:tc>
        <w:tc>
          <w:tcPr>
            <w:tcW w:w="980" w:type="dxa"/>
            <w:tcBorders>
              <w:top w:val="nil"/>
              <w:left w:val="nil"/>
              <w:bottom w:val="nil"/>
              <w:right w:val="single" w:sz="4" w:space="0" w:color="auto"/>
            </w:tcBorders>
            <w:shd w:val="clear" w:color="auto" w:fill="auto"/>
            <w:noWrap/>
            <w:vAlign w:val="bottom"/>
            <w:hideMark/>
          </w:tcPr>
          <w:p w:rsidR="0075764B" w:rsidRPr="00A1583F" w:rsidRDefault="0075764B" w:rsidP="0075764B">
            <w:pPr>
              <w:spacing w:before="40" w:after="40" w:line="240" w:lineRule="auto"/>
              <w:jc w:val="right"/>
              <w:rPr>
                <w:rFonts w:cstheme="minorHAnsi"/>
                <w:sz w:val="18"/>
                <w:szCs w:val="18"/>
              </w:rPr>
            </w:pPr>
            <w:r w:rsidRPr="00A1583F">
              <w:rPr>
                <w:rFonts w:cstheme="minorHAnsi"/>
                <w:sz w:val="18"/>
                <w:szCs w:val="18"/>
                <w:lang w:val="en-US"/>
              </w:rPr>
              <w:t>953</w:t>
            </w:r>
          </w:p>
        </w:tc>
        <w:tc>
          <w:tcPr>
            <w:tcW w:w="1198" w:type="dxa"/>
            <w:tcBorders>
              <w:top w:val="nil"/>
              <w:left w:val="nil"/>
              <w:bottom w:val="nil"/>
              <w:right w:val="nil"/>
            </w:tcBorders>
            <w:shd w:val="clear" w:color="auto" w:fill="auto"/>
            <w:noWrap/>
            <w:vAlign w:val="bottom"/>
            <w:hideMark/>
          </w:tcPr>
          <w:p w:rsidR="0075764B" w:rsidRPr="00A1583F" w:rsidRDefault="0075764B" w:rsidP="0075764B">
            <w:pPr>
              <w:spacing w:before="40" w:after="40" w:line="240" w:lineRule="auto"/>
              <w:jc w:val="right"/>
              <w:rPr>
                <w:rFonts w:cstheme="minorHAnsi"/>
                <w:sz w:val="18"/>
                <w:szCs w:val="18"/>
              </w:rPr>
            </w:pPr>
            <w:r w:rsidRPr="00A1583F">
              <w:rPr>
                <w:rFonts w:cstheme="minorHAnsi"/>
                <w:sz w:val="18"/>
                <w:szCs w:val="18"/>
              </w:rPr>
              <w:t>1,579</w:t>
            </w:r>
          </w:p>
        </w:tc>
        <w:tc>
          <w:tcPr>
            <w:tcW w:w="980" w:type="dxa"/>
            <w:tcBorders>
              <w:top w:val="nil"/>
              <w:left w:val="nil"/>
              <w:bottom w:val="nil"/>
              <w:right w:val="single" w:sz="4" w:space="0" w:color="auto"/>
            </w:tcBorders>
            <w:shd w:val="clear" w:color="auto" w:fill="auto"/>
            <w:noWrap/>
            <w:vAlign w:val="bottom"/>
            <w:hideMark/>
          </w:tcPr>
          <w:p w:rsidR="0075764B" w:rsidRPr="00A1583F" w:rsidRDefault="0075764B" w:rsidP="0075764B">
            <w:pPr>
              <w:spacing w:before="40" w:after="40" w:line="240" w:lineRule="auto"/>
              <w:jc w:val="right"/>
              <w:rPr>
                <w:rFonts w:cstheme="minorHAnsi"/>
                <w:sz w:val="18"/>
                <w:szCs w:val="18"/>
              </w:rPr>
            </w:pPr>
            <w:r w:rsidRPr="00A1583F">
              <w:rPr>
                <w:rFonts w:cstheme="minorHAnsi"/>
                <w:sz w:val="18"/>
                <w:szCs w:val="18"/>
                <w:lang w:val="en-US"/>
              </w:rPr>
              <w:t>132</w:t>
            </w:r>
          </w:p>
        </w:tc>
        <w:tc>
          <w:tcPr>
            <w:tcW w:w="1090" w:type="dxa"/>
            <w:tcBorders>
              <w:top w:val="nil"/>
              <w:left w:val="nil"/>
              <w:bottom w:val="nil"/>
              <w:right w:val="nil"/>
            </w:tcBorders>
            <w:shd w:val="clear" w:color="auto" w:fill="auto"/>
            <w:noWrap/>
            <w:vAlign w:val="bottom"/>
            <w:hideMark/>
          </w:tcPr>
          <w:p w:rsidR="0075764B" w:rsidRPr="00A1583F" w:rsidRDefault="0075764B" w:rsidP="0075764B">
            <w:pPr>
              <w:spacing w:before="40" w:after="40" w:line="240" w:lineRule="auto"/>
              <w:jc w:val="right"/>
              <w:rPr>
                <w:rFonts w:cstheme="minorHAnsi"/>
                <w:sz w:val="18"/>
                <w:szCs w:val="18"/>
              </w:rPr>
            </w:pPr>
            <w:r w:rsidRPr="00A1583F">
              <w:rPr>
                <w:rFonts w:cstheme="minorHAnsi"/>
                <w:sz w:val="18"/>
                <w:szCs w:val="18"/>
              </w:rPr>
              <w:t>13,020</w:t>
            </w:r>
          </w:p>
        </w:tc>
        <w:tc>
          <w:tcPr>
            <w:tcW w:w="1090" w:type="dxa"/>
            <w:tcBorders>
              <w:top w:val="nil"/>
              <w:left w:val="nil"/>
              <w:bottom w:val="nil"/>
              <w:right w:val="single" w:sz="4" w:space="0" w:color="auto"/>
            </w:tcBorders>
            <w:shd w:val="clear" w:color="auto" w:fill="auto"/>
            <w:noWrap/>
            <w:vAlign w:val="bottom"/>
            <w:hideMark/>
          </w:tcPr>
          <w:p w:rsidR="0075764B" w:rsidRPr="00A1583F" w:rsidRDefault="0075764B" w:rsidP="0075764B">
            <w:pPr>
              <w:spacing w:before="40" w:after="40" w:line="240" w:lineRule="auto"/>
              <w:jc w:val="right"/>
              <w:rPr>
                <w:rFonts w:cstheme="minorHAnsi"/>
                <w:sz w:val="18"/>
                <w:szCs w:val="18"/>
              </w:rPr>
            </w:pPr>
            <w:r w:rsidRPr="00A1583F">
              <w:rPr>
                <w:rFonts w:cstheme="minorHAnsi"/>
                <w:sz w:val="18"/>
                <w:szCs w:val="18"/>
              </w:rPr>
              <w:t>1,085</w:t>
            </w:r>
          </w:p>
        </w:tc>
      </w:tr>
      <w:tr w:rsidR="0075764B" w:rsidRPr="00A1583F" w:rsidTr="00490847">
        <w:trPr>
          <w:trHeight w:val="294"/>
        </w:trPr>
        <w:tc>
          <w:tcPr>
            <w:tcW w:w="3067" w:type="dxa"/>
            <w:tcBorders>
              <w:top w:val="nil"/>
              <w:left w:val="single" w:sz="4" w:space="0" w:color="auto"/>
              <w:bottom w:val="nil"/>
              <w:right w:val="single" w:sz="4" w:space="0" w:color="auto"/>
            </w:tcBorders>
            <w:shd w:val="clear" w:color="auto" w:fill="auto"/>
            <w:noWrap/>
            <w:vAlign w:val="bottom"/>
            <w:hideMark/>
          </w:tcPr>
          <w:p w:rsidR="0075764B" w:rsidRPr="00A1583F" w:rsidRDefault="0075764B" w:rsidP="0075764B">
            <w:pPr>
              <w:spacing w:before="40" w:after="40" w:line="240" w:lineRule="auto"/>
              <w:rPr>
                <w:rFonts w:cstheme="minorHAnsi"/>
                <w:sz w:val="18"/>
                <w:szCs w:val="18"/>
                <w:lang w:val="en-US"/>
              </w:rPr>
            </w:pPr>
            <w:r w:rsidRPr="00A1583F">
              <w:rPr>
                <w:rFonts w:cstheme="minorHAnsi"/>
                <w:sz w:val="18"/>
                <w:szCs w:val="18"/>
                <w:lang w:val="en-US"/>
              </w:rPr>
              <w:t>Other cash income</w:t>
            </w:r>
          </w:p>
        </w:tc>
        <w:tc>
          <w:tcPr>
            <w:tcW w:w="1198" w:type="dxa"/>
            <w:tcBorders>
              <w:top w:val="nil"/>
              <w:left w:val="nil"/>
              <w:bottom w:val="nil"/>
              <w:right w:val="nil"/>
            </w:tcBorders>
            <w:shd w:val="clear" w:color="auto" w:fill="auto"/>
            <w:noWrap/>
            <w:vAlign w:val="bottom"/>
            <w:hideMark/>
          </w:tcPr>
          <w:p w:rsidR="0075764B" w:rsidRPr="00A1583F" w:rsidRDefault="0075764B" w:rsidP="0075764B">
            <w:pPr>
              <w:spacing w:before="40" w:after="40" w:line="240" w:lineRule="auto"/>
              <w:jc w:val="right"/>
              <w:rPr>
                <w:rFonts w:cstheme="minorHAnsi"/>
                <w:sz w:val="18"/>
                <w:szCs w:val="18"/>
              </w:rPr>
            </w:pPr>
            <w:r w:rsidRPr="00A1583F">
              <w:rPr>
                <w:rFonts w:cstheme="minorHAnsi"/>
                <w:sz w:val="18"/>
                <w:szCs w:val="18"/>
              </w:rPr>
              <w:t>283</w:t>
            </w:r>
          </w:p>
        </w:tc>
        <w:tc>
          <w:tcPr>
            <w:tcW w:w="980" w:type="dxa"/>
            <w:tcBorders>
              <w:top w:val="nil"/>
              <w:left w:val="nil"/>
              <w:bottom w:val="nil"/>
              <w:right w:val="single" w:sz="4" w:space="0" w:color="auto"/>
            </w:tcBorders>
            <w:shd w:val="clear" w:color="auto" w:fill="auto"/>
            <w:noWrap/>
            <w:vAlign w:val="bottom"/>
            <w:hideMark/>
          </w:tcPr>
          <w:p w:rsidR="0075764B" w:rsidRPr="00A1583F" w:rsidRDefault="0075764B" w:rsidP="0075764B">
            <w:pPr>
              <w:spacing w:before="40" w:after="40" w:line="240" w:lineRule="auto"/>
              <w:jc w:val="right"/>
              <w:rPr>
                <w:rFonts w:cstheme="minorHAnsi"/>
                <w:sz w:val="18"/>
                <w:szCs w:val="18"/>
              </w:rPr>
            </w:pPr>
            <w:r w:rsidRPr="00A1583F">
              <w:rPr>
                <w:rFonts w:cstheme="minorHAnsi"/>
                <w:sz w:val="18"/>
                <w:szCs w:val="18"/>
                <w:lang w:val="en-US"/>
              </w:rPr>
              <w:t>24</w:t>
            </w:r>
          </w:p>
        </w:tc>
        <w:tc>
          <w:tcPr>
            <w:tcW w:w="1198" w:type="dxa"/>
            <w:tcBorders>
              <w:top w:val="nil"/>
              <w:left w:val="nil"/>
              <w:bottom w:val="nil"/>
              <w:right w:val="nil"/>
            </w:tcBorders>
            <w:shd w:val="clear" w:color="auto" w:fill="auto"/>
            <w:noWrap/>
            <w:vAlign w:val="bottom"/>
            <w:hideMark/>
          </w:tcPr>
          <w:p w:rsidR="0075764B" w:rsidRPr="00A1583F" w:rsidRDefault="0075764B" w:rsidP="0075764B">
            <w:pPr>
              <w:spacing w:before="40" w:after="40" w:line="240" w:lineRule="auto"/>
              <w:jc w:val="right"/>
              <w:rPr>
                <w:rFonts w:cstheme="minorHAnsi"/>
                <w:sz w:val="18"/>
                <w:szCs w:val="18"/>
              </w:rPr>
            </w:pPr>
            <w:r w:rsidRPr="00A1583F">
              <w:rPr>
                <w:rFonts w:cstheme="minorHAnsi"/>
                <w:sz w:val="18"/>
                <w:szCs w:val="18"/>
              </w:rPr>
              <w:t>230</w:t>
            </w:r>
          </w:p>
        </w:tc>
        <w:tc>
          <w:tcPr>
            <w:tcW w:w="980" w:type="dxa"/>
            <w:tcBorders>
              <w:top w:val="nil"/>
              <w:left w:val="nil"/>
              <w:bottom w:val="nil"/>
              <w:right w:val="single" w:sz="4" w:space="0" w:color="auto"/>
            </w:tcBorders>
            <w:shd w:val="clear" w:color="auto" w:fill="auto"/>
            <w:noWrap/>
            <w:vAlign w:val="bottom"/>
            <w:hideMark/>
          </w:tcPr>
          <w:p w:rsidR="0075764B" w:rsidRPr="00A1583F" w:rsidRDefault="0075764B" w:rsidP="0075764B">
            <w:pPr>
              <w:spacing w:before="40" w:after="40" w:line="240" w:lineRule="auto"/>
              <w:jc w:val="right"/>
              <w:rPr>
                <w:rFonts w:cstheme="minorHAnsi"/>
                <w:sz w:val="18"/>
                <w:szCs w:val="18"/>
              </w:rPr>
            </w:pPr>
            <w:r w:rsidRPr="00A1583F">
              <w:rPr>
                <w:rFonts w:cstheme="minorHAnsi"/>
                <w:sz w:val="18"/>
                <w:szCs w:val="18"/>
                <w:lang w:val="en-US"/>
              </w:rPr>
              <w:t>19</w:t>
            </w:r>
          </w:p>
        </w:tc>
        <w:tc>
          <w:tcPr>
            <w:tcW w:w="1090" w:type="dxa"/>
            <w:tcBorders>
              <w:top w:val="nil"/>
              <w:left w:val="nil"/>
              <w:bottom w:val="nil"/>
              <w:right w:val="nil"/>
            </w:tcBorders>
            <w:shd w:val="clear" w:color="auto" w:fill="auto"/>
            <w:noWrap/>
            <w:vAlign w:val="bottom"/>
            <w:hideMark/>
          </w:tcPr>
          <w:p w:rsidR="0075764B" w:rsidRPr="00A1583F" w:rsidRDefault="0075764B" w:rsidP="0075764B">
            <w:pPr>
              <w:spacing w:before="40" w:after="40" w:line="240" w:lineRule="auto"/>
              <w:jc w:val="right"/>
              <w:rPr>
                <w:rFonts w:cstheme="minorHAnsi"/>
                <w:sz w:val="18"/>
                <w:szCs w:val="18"/>
              </w:rPr>
            </w:pPr>
            <w:r w:rsidRPr="00A1583F">
              <w:rPr>
                <w:rFonts w:cstheme="minorHAnsi"/>
                <w:sz w:val="18"/>
                <w:szCs w:val="18"/>
              </w:rPr>
              <w:t>513</w:t>
            </w:r>
          </w:p>
        </w:tc>
        <w:tc>
          <w:tcPr>
            <w:tcW w:w="1090" w:type="dxa"/>
            <w:tcBorders>
              <w:top w:val="nil"/>
              <w:left w:val="nil"/>
              <w:bottom w:val="nil"/>
              <w:right w:val="single" w:sz="4" w:space="0" w:color="auto"/>
            </w:tcBorders>
            <w:shd w:val="clear" w:color="auto" w:fill="auto"/>
            <w:noWrap/>
            <w:vAlign w:val="bottom"/>
            <w:hideMark/>
          </w:tcPr>
          <w:p w:rsidR="0075764B" w:rsidRPr="00A1583F" w:rsidRDefault="0075764B" w:rsidP="0075764B">
            <w:pPr>
              <w:spacing w:before="40" w:after="40" w:line="240" w:lineRule="auto"/>
              <w:jc w:val="right"/>
              <w:rPr>
                <w:rFonts w:cstheme="minorHAnsi"/>
                <w:sz w:val="18"/>
                <w:szCs w:val="18"/>
              </w:rPr>
            </w:pPr>
            <w:r w:rsidRPr="00A1583F">
              <w:rPr>
                <w:rFonts w:cstheme="minorHAnsi"/>
                <w:sz w:val="18"/>
                <w:szCs w:val="18"/>
              </w:rPr>
              <w:t>43</w:t>
            </w:r>
          </w:p>
        </w:tc>
      </w:tr>
      <w:tr w:rsidR="0075764B" w:rsidRPr="00A1583F" w:rsidTr="00490847">
        <w:trPr>
          <w:trHeight w:val="294"/>
        </w:trPr>
        <w:tc>
          <w:tcPr>
            <w:tcW w:w="3067" w:type="dxa"/>
            <w:tcBorders>
              <w:top w:val="nil"/>
              <w:left w:val="single" w:sz="4" w:space="0" w:color="auto"/>
              <w:bottom w:val="nil"/>
              <w:right w:val="single" w:sz="4" w:space="0" w:color="auto"/>
            </w:tcBorders>
            <w:shd w:val="clear" w:color="auto" w:fill="auto"/>
            <w:noWrap/>
            <w:vAlign w:val="bottom"/>
            <w:hideMark/>
          </w:tcPr>
          <w:p w:rsidR="0075764B" w:rsidRPr="00A1583F" w:rsidRDefault="0075764B" w:rsidP="0075764B">
            <w:pPr>
              <w:spacing w:before="40" w:after="40" w:line="240" w:lineRule="auto"/>
              <w:rPr>
                <w:rFonts w:cstheme="minorHAnsi"/>
                <w:sz w:val="18"/>
                <w:szCs w:val="18"/>
                <w:lang w:val="en-US"/>
              </w:rPr>
            </w:pPr>
            <w:r w:rsidRPr="00A1583F">
              <w:rPr>
                <w:rFonts w:cstheme="minorHAnsi"/>
                <w:sz w:val="18"/>
                <w:szCs w:val="18"/>
                <w:lang w:val="en-US"/>
              </w:rPr>
              <w:t>Gifts received</w:t>
            </w:r>
          </w:p>
        </w:tc>
        <w:tc>
          <w:tcPr>
            <w:tcW w:w="1198" w:type="dxa"/>
            <w:tcBorders>
              <w:top w:val="nil"/>
              <w:left w:val="nil"/>
              <w:bottom w:val="nil"/>
              <w:right w:val="nil"/>
            </w:tcBorders>
            <w:shd w:val="clear" w:color="auto" w:fill="auto"/>
            <w:noWrap/>
            <w:vAlign w:val="bottom"/>
            <w:hideMark/>
          </w:tcPr>
          <w:p w:rsidR="0075764B" w:rsidRPr="00A1583F" w:rsidRDefault="0075764B" w:rsidP="0075764B">
            <w:pPr>
              <w:spacing w:before="40" w:after="40" w:line="240" w:lineRule="auto"/>
              <w:jc w:val="right"/>
              <w:rPr>
                <w:rFonts w:cstheme="minorHAnsi"/>
                <w:sz w:val="18"/>
                <w:szCs w:val="18"/>
              </w:rPr>
            </w:pPr>
            <w:r w:rsidRPr="00A1583F">
              <w:rPr>
                <w:rFonts w:cstheme="minorHAnsi"/>
                <w:sz w:val="18"/>
                <w:szCs w:val="18"/>
              </w:rPr>
              <w:t>1,244</w:t>
            </w:r>
          </w:p>
        </w:tc>
        <w:tc>
          <w:tcPr>
            <w:tcW w:w="980" w:type="dxa"/>
            <w:tcBorders>
              <w:top w:val="nil"/>
              <w:left w:val="nil"/>
              <w:bottom w:val="nil"/>
              <w:right w:val="single" w:sz="4" w:space="0" w:color="auto"/>
            </w:tcBorders>
            <w:shd w:val="clear" w:color="auto" w:fill="auto"/>
            <w:noWrap/>
            <w:vAlign w:val="bottom"/>
            <w:hideMark/>
          </w:tcPr>
          <w:p w:rsidR="0075764B" w:rsidRPr="00A1583F" w:rsidRDefault="0075764B" w:rsidP="0075764B">
            <w:pPr>
              <w:spacing w:before="40" w:after="40" w:line="240" w:lineRule="auto"/>
              <w:jc w:val="right"/>
              <w:rPr>
                <w:rFonts w:cstheme="minorHAnsi"/>
                <w:sz w:val="18"/>
                <w:szCs w:val="18"/>
              </w:rPr>
            </w:pPr>
            <w:r w:rsidRPr="00A1583F">
              <w:rPr>
                <w:rFonts w:cstheme="minorHAnsi"/>
                <w:sz w:val="18"/>
                <w:szCs w:val="18"/>
                <w:lang w:val="en-US"/>
              </w:rPr>
              <w:t>104</w:t>
            </w:r>
          </w:p>
        </w:tc>
        <w:tc>
          <w:tcPr>
            <w:tcW w:w="1198" w:type="dxa"/>
            <w:tcBorders>
              <w:top w:val="nil"/>
              <w:left w:val="nil"/>
              <w:bottom w:val="nil"/>
              <w:right w:val="nil"/>
            </w:tcBorders>
            <w:shd w:val="clear" w:color="auto" w:fill="auto"/>
            <w:noWrap/>
            <w:vAlign w:val="bottom"/>
            <w:hideMark/>
          </w:tcPr>
          <w:p w:rsidR="0075764B" w:rsidRPr="00A1583F" w:rsidRDefault="0075764B" w:rsidP="0075764B">
            <w:pPr>
              <w:spacing w:before="40" w:after="40" w:line="240" w:lineRule="auto"/>
              <w:jc w:val="right"/>
              <w:rPr>
                <w:rFonts w:cstheme="minorHAnsi"/>
                <w:sz w:val="18"/>
                <w:szCs w:val="18"/>
              </w:rPr>
            </w:pPr>
            <w:r w:rsidRPr="00A1583F">
              <w:rPr>
                <w:rFonts w:cstheme="minorHAnsi"/>
                <w:sz w:val="18"/>
                <w:szCs w:val="18"/>
              </w:rPr>
              <w:t>429</w:t>
            </w:r>
          </w:p>
        </w:tc>
        <w:tc>
          <w:tcPr>
            <w:tcW w:w="980" w:type="dxa"/>
            <w:tcBorders>
              <w:top w:val="nil"/>
              <w:left w:val="nil"/>
              <w:bottom w:val="nil"/>
              <w:right w:val="single" w:sz="4" w:space="0" w:color="auto"/>
            </w:tcBorders>
            <w:shd w:val="clear" w:color="auto" w:fill="auto"/>
            <w:noWrap/>
            <w:vAlign w:val="bottom"/>
            <w:hideMark/>
          </w:tcPr>
          <w:p w:rsidR="0075764B" w:rsidRPr="00A1583F" w:rsidRDefault="0075764B" w:rsidP="0075764B">
            <w:pPr>
              <w:spacing w:before="40" w:after="40" w:line="240" w:lineRule="auto"/>
              <w:jc w:val="right"/>
              <w:rPr>
                <w:rFonts w:cstheme="minorHAnsi"/>
                <w:sz w:val="18"/>
                <w:szCs w:val="18"/>
              </w:rPr>
            </w:pPr>
            <w:r w:rsidRPr="00A1583F">
              <w:rPr>
                <w:rFonts w:cstheme="minorHAnsi"/>
                <w:sz w:val="18"/>
                <w:szCs w:val="18"/>
                <w:lang w:val="en-US"/>
              </w:rPr>
              <w:t>36</w:t>
            </w:r>
          </w:p>
        </w:tc>
        <w:tc>
          <w:tcPr>
            <w:tcW w:w="1090" w:type="dxa"/>
            <w:tcBorders>
              <w:top w:val="nil"/>
              <w:left w:val="nil"/>
              <w:bottom w:val="nil"/>
              <w:right w:val="nil"/>
            </w:tcBorders>
            <w:shd w:val="clear" w:color="auto" w:fill="auto"/>
            <w:noWrap/>
            <w:vAlign w:val="bottom"/>
            <w:hideMark/>
          </w:tcPr>
          <w:p w:rsidR="0075764B" w:rsidRPr="00A1583F" w:rsidRDefault="0075764B" w:rsidP="0075764B">
            <w:pPr>
              <w:spacing w:before="40" w:after="40" w:line="240" w:lineRule="auto"/>
              <w:jc w:val="right"/>
              <w:rPr>
                <w:rFonts w:cstheme="minorHAnsi"/>
                <w:sz w:val="18"/>
                <w:szCs w:val="18"/>
              </w:rPr>
            </w:pPr>
            <w:r w:rsidRPr="00A1583F">
              <w:rPr>
                <w:rFonts w:cstheme="minorHAnsi"/>
                <w:sz w:val="18"/>
                <w:szCs w:val="18"/>
              </w:rPr>
              <w:t>1,673</w:t>
            </w:r>
          </w:p>
        </w:tc>
        <w:tc>
          <w:tcPr>
            <w:tcW w:w="1090" w:type="dxa"/>
            <w:tcBorders>
              <w:top w:val="nil"/>
              <w:left w:val="nil"/>
              <w:bottom w:val="nil"/>
              <w:right w:val="single" w:sz="4" w:space="0" w:color="auto"/>
            </w:tcBorders>
            <w:shd w:val="clear" w:color="auto" w:fill="auto"/>
            <w:noWrap/>
            <w:vAlign w:val="bottom"/>
            <w:hideMark/>
          </w:tcPr>
          <w:p w:rsidR="0075764B" w:rsidRPr="00A1583F" w:rsidRDefault="0075764B" w:rsidP="0075764B">
            <w:pPr>
              <w:spacing w:before="40" w:after="40" w:line="240" w:lineRule="auto"/>
              <w:jc w:val="right"/>
              <w:rPr>
                <w:rFonts w:cstheme="minorHAnsi"/>
                <w:sz w:val="18"/>
                <w:szCs w:val="18"/>
              </w:rPr>
            </w:pPr>
            <w:r w:rsidRPr="00A1583F">
              <w:rPr>
                <w:rFonts w:cstheme="minorHAnsi"/>
                <w:sz w:val="18"/>
                <w:szCs w:val="18"/>
              </w:rPr>
              <w:t>139</w:t>
            </w:r>
          </w:p>
        </w:tc>
      </w:tr>
      <w:tr w:rsidR="0075764B" w:rsidRPr="00A1583F" w:rsidTr="00490847">
        <w:trPr>
          <w:trHeight w:val="294"/>
        </w:trPr>
        <w:tc>
          <w:tcPr>
            <w:tcW w:w="30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5764B" w:rsidRPr="00A1583F" w:rsidRDefault="0075764B" w:rsidP="0075764B">
            <w:pPr>
              <w:spacing w:before="40" w:after="40" w:line="240" w:lineRule="auto"/>
              <w:rPr>
                <w:rFonts w:cstheme="minorHAnsi"/>
                <w:b/>
                <w:sz w:val="18"/>
                <w:szCs w:val="18"/>
                <w:lang w:val="en-US"/>
              </w:rPr>
            </w:pPr>
            <w:r w:rsidRPr="00A1583F">
              <w:rPr>
                <w:rFonts w:cstheme="minorHAnsi"/>
                <w:b/>
                <w:sz w:val="18"/>
                <w:szCs w:val="18"/>
                <w:lang w:val="en-US"/>
              </w:rPr>
              <w:t>Total income (million vatu)</w:t>
            </w:r>
          </w:p>
        </w:tc>
        <w:tc>
          <w:tcPr>
            <w:tcW w:w="1198" w:type="dxa"/>
            <w:tcBorders>
              <w:top w:val="single" w:sz="4" w:space="0" w:color="auto"/>
              <w:left w:val="nil"/>
              <w:bottom w:val="single" w:sz="4" w:space="0" w:color="auto"/>
              <w:right w:val="nil"/>
            </w:tcBorders>
            <w:shd w:val="clear" w:color="auto" w:fill="auto"/>
            <w:noWrap/>
            <w:vAlign w:val="bottom"/>
            <w:hideMark/>
          </w:tcPr>
          <w:p w:rsidR="0075764B" w:rsidRPr="00A1583F" w:rsidRDefault="0075764B" w:rsidP="0075764B">
            <w:pPr>
              <w:spacing w:before="40" w:after="40" w:line="240" w:lineRule="auto"/>
              <w:jc w:val="right"/>
              <w:rPr>
                <w:rFonts w:cstheme="minorHAnsi"/>
                <w:b/>
                <w:sz w:val="18"/>
                <w:szCs w:val="18"/>
              </w:rPr>
            </w:pPr>
            <w:r w:rsidRPr="00A1583F">
              <w:rPr>
                <w:rFonts w:cstheme="minorHAnsi"/>
                <w:b/>
                <w:sz w:val="18"/>
                <w:szCs w:val="18"/>
              </w:rPr>
              <w:t>35,848</w:t>
            </w:r>
          </w:p>
        </w:tc>
        <w:tc>
          <w:tcPr>
            <w:tcW w:w="980" w:type="dxa"/>
            <w:tcBorders>
              <w:top w:val="single" w:sz="4" w:space="0" w:color="auto"/>
              <w:left w:val="nil"/>
              <w:bottom w:val="single" w:sz="4" w:space="0" w:color="auto"/>
              <w:right w:val="single" w:sz="4" w:space="0" w:color="auto"/>
            </w:tcBorders>
            <w:shd w:val="clear" w:color="auto" w:fill="auto"/>
            <w:noWrap/>
            <w:vAlign w:val="bottom"/>
            <w:hideMark/>
          </w:tcPr>
          <w:p w:rsidR="0075764B" w:rsidRPr="00A1583F" w:rsidRDefault="0075764B" w:rsidP="0075764B">
            <w:pPr>
              <w:spacing w:before="40" w:after="40" w:line="240" w:lineRule="auto"/>
              <w:jc w:val="right"/>
              <w:rPr>
                <w:rFonts w:cstheme="minorHAnsi"/>
                <w:b/>
                <w:sz w:val="18"/>
                <w:szCs w:val="18"/>
              </w:rPr>
            </w:pPr>
            <w:r w:rsidRPr="00A1583F">
              <w:rPr>
                <w:rFonts w:cstheme="minorHAnsi"/>
                <w:b/>
                <w:sz w:val="18"/>
                <w:szCs w:val="18"/>
                <w:lang w:val="en-US"/>
              </w:rPr>
              <w:t>2,987</w:t>
            </w:r>
          </w:p>
        </w:tc>
        <w:tc>
          <w:tcPr>
            <w:tcW w:w="1198" w:type="dxa"/>
            <w:tcBorders>
              <w:top w:val="single" w:sz="4" w:space="0" w:color="auto"/>
              <w:left w:val="nil"/>
              <w:bottom w:val="single" w:sz="4" w:space="0" w:color="auto"/>
              <w:right w:val="nil"/>
            </w:tcBorders>
            <w:shd w:val="clear" w:color="auto" w:fill="auto"/>
            <w:noWrap/>
            <w:vAlign w:val="bottom"/>
            <w:hideMark/>
          </w:tcPr>
          <w:p w:rsidR="0075764B" w:rsidRPr="00A1583F" w:rsidRDefault="0075764B" w:rsidP="0075764B">
            <w:pPr>
              <w:spacing w:before="40" w:after="40" w:line="240" w:lineRule="auto"/>
              <w:jc w:val="right"/>
              <w:rPr>
                <w:rFonts w:cstheme="minorHAnsi"/>
                <w:b/>
                <w:sz w:val="18"/>
                <w:szCs w:val="18"/>
              </w:rPr>
            </w:pPr>
            <w:r w:rsidRPr="00A1583F">
              <w:rPr>
                <w:rFonts w:cstheme="minorHAnsi"/>
                <w:b/>
                <w:sz w:val="18"/>
                <w:szCs w:val="18"/>
              </w:rPr>
              <w:t>14,027</w:t>
            </w:r>
          </w:p>
        </w:tc>
        <w:tc>
          <w:tcPr>
            <w:tcW w:w="980" w:type="dxa"/>
            <w:tcBorders>
              <w:top w:val="single" w:sz="4" w:space="0" w:color="auto"/>
              <w:left w:val="nil"/>
              <w:bottom w:val="single" w:sz="4" w:space="0" w:color="auto"/>
              <w:right w:val="single" w:sz="4" w:space="0" w:color="auto"/>
            </w:tcBorders>
            <w:shd w:val="clear" w:color="auto" w:fill="auto"/>
            <w:noWrap/>
            <w:vAlign w:val="bottom"/>
            <w:hideMark/>
          </w:tcPr>
          <w:p w:rsidR="0075764B" w:rsidRPr="00A1583F" w:rsidRDefault="0075764B" w:rsidP="0075764B">
            <w:pPr>
              <w:spacing w:before="40" w:after="40" w:line="240" w:lineRule="auto"/>
              <w:jc w:val="right"/>
              <w:rPr>
                <w:rFonts w:cstheme="minorHAnsi"/>
                <w:b/>
                <w:sz w:val="18"/>
                <w:szCs w:val="18"/>
              </w:rPr>
            </w:pPr>
            <w:r w:rsidRPr="00A1583F">
              <w:rPr>
                <w:rFonts w:cstheme="minorHAnsi"/>
                <w:b/>
                <w:sz w:val="18"/>
                <w:szCs w:val="18"/>
                <w:lang w:val="en-US"/>
              </w:rPr>
              <w:t>1,169</w:t>
            </w:r>
          </w:p>
        </w:tc>
        <w:tc>
          <w:tcPr>
            <w:tcW w:w="1090" w:type="dxa"/>
            <w:tcBorders>
              <w:top w:val="single" w:sz="4" w:space="0" w:color="auto"/>
              <w:left w:val="nil"/>
              <w:bottom w:val="single" w:sz="4" w:space="0" w:color="auto"/>
              <w:right w:val="nil"/>
            </w:tcBorders>
            <w:shd w:val="clear" w:color="auto" w:fill="auto"/>
            <w:noWrap/>
            <w:vAlign w:val="bottom"/>
            <w:hideMark/>
          </w:tcPr>
          <w:p w:rsidR="0075764B" w:rsidRPr="00A1583F" w:rsidRDefault="0075764B" w:rsidP="0075764B">
            <w:pPr>
              <w:spacing w:before="40" w:after="40" w:line="240" w:lineRule="auto"/>
              <w:jc w:val="right"/>
              <w:rPr>
                <w:rFonts w:cstheme="minorHAnsi"/>
                <w:b/>
                <w:sz w:val="18"/>
                <w:szCs w:val="18"/>
              </w:rPr>
            </w:pPr>
            <w:r w:rsidRPr="00A1583F">
              <w:rPr>
                <w:rFonts w:cstheme="minorHAnsi"/>
                <w:b/>
                <w:sz w:val="18"/>
                <w:szCs w:val="18"/>
              </w:rPr>
              <w:t>49,874</w:t>
            </w:r>
          </w:p>
        </w:tc>
        <w:tc>
          <w:tcPr>
            <w:tcW w:w="1090" w:type="dxa"/>
            <w:tcBorders>
              <w:top w:val="single" w:sz="4" w:space="0" w:color="auto"/>
              <w:left w:val="nil"/>
              <w:bottom w:val="single" w:sz="4" w:space="0" w:color="auto"/>
              <w:right w:val="single" w:sz="4" w:space="0" w:color="auto"/>
            </w:tcBorders>
            <w:shd w:val="clear" w:color="auto" w:fill="auto"/>
            <w:noWrap/>
            <w:vAlign w:val="bottom"/>
            <w:hideMark/>
          </w:tcPr>
          <w:p w:rsidR="0075764B" w:rsidRPr="00A1583F" w:rsidRDefault="0075764B" w:rsidP="0075764B">
            <w:pPr>
              <w:spacing w:before="40" w:after="40" w:line="240" w:lineRule="auto"/>
              <w:jc w:val="right"/>
              <w:rPr>
                <w:rFonts w:cstheme="minorHAnsi"/>
                <w:b/>
                <w:sz w:val="18"/>
                <w:szCs w:val="18"/>
              </w:rPr>
            </w:pPr>
            <w:r w:rsidRPr="00A1583F">
              <w:rPr>
                <w:rFonts w:cstheme="minorHAnsi"/>
                <w:b/>
                <w:sz w:val="18"/>
                <w:szCs w:val="18"/>
              </w:rPr>
              <w:t>4,156</w:t>
            </w:r>
          </w:p>
        </w:tc>
      </w:tr>
    </w:tbl>
    <w:p w:rsidR="002C597C" w:rsidRPr="002C597C" w:rsidRDefault="002C597C" w:rsidP="002C597C">
      <w:pPr>
        <w:spacing w:before="0"/>
        <w:rPr>
          <w:rFonts w:ascii="Tahoma" w:hAnsi="Tahoma" w:cs="Tahoma"/>
          <w:i/>
          <w:sz w:val="16"/>
        </w:rPr>
      </w:pPr>
      <w:r w:rsidRPr="002C597C">
        <w:rPr>
          <w:rFonts w:ascii="Tahoma" w:hAnsi="Tahoma" w:cs="Tahoma"/>
          <w:i/>
          <w:sz w:val="16"/>
        </w:rPr>
        <w:t xml:space="preserve">* Total value of gifts received. </w:t>
      </w:r>
    </w:p>
    <w:p w:rsidR="00FA13A9" w:rsidRDefault="00FA13A9" w:rsidP="00495A4B">
      <w:pPr>
        <w:rPr>
          <w:rFonts w:ascii="Tahoma" w:hAnsi="Tahoma" w:cs="Tahoma"/>
          <w:b/>
        </w:rPr>
      </w:pPr>
    </w:p>
    <w:p w:rsidR="00FA13A9" w:rsidRDefault="00FA13A9" w:rsidP="00495A4B">
      <w:pPr>
        <w:rPr>
          <w:rFonts w:ascii="Tahoma" w:hAnsi="Tahoma" w:cs="Tahoma"/>
          <w:b/>
        </w:rPr>
      </w:pPr>
    </w:p>
    <w:p w:rsidR="00854C29" w:rsidRPr="00FD053A" w:rsidRDefault="00FD053A" w:rsidP="00495A4B">
      <w:pPr>
        <w:rPr>
          <w:rFonts w:cs="Times New Roman"/>
          <w:b/>
        </w:rPr>
      </w:pPr>
      <w:r w:rsidRPr="00FD053A">
        <w:rPr>
          <w:rFonts w:ascii="Tahoma" w:hAnsi="Tahoma" w:cs="Tahoma"/>
          <w:b/>
        </w:rPr>
        <w:t>Table 2:</w:t>
      </w:r>
      <w:r w:rsidRPr="00FD053A">
        <w:rPr>
          <w:rFonts w:ascii="Tahoma" w:hAnsi="Tahoma" w:cs="Tahoma"/>
          <w:b/>
        </w:rPr>
        <w:tab/>
        <w:t xml:space="preserve">Summary of household expenditure, </w:t>
      </w:r>
      <w:proofErr w:type="gramStart"/>
      <w:r w:rsidRPr="00FD053A">
        <w:rPr>
          <w:rFonts w:ascii="Tahoma" w:hAnsi="Tahoma" w:cs="Tahoma"/>
          <w:b/>
        </w:rPr>
        <w:t>million Vatu, 2010</w:t>
      </w:r>
      <w:proofErr w:type="gramEnd"/>
      <w:r w:rsidRPr="00FD053A">
        <w:rPr>
          <w:rFonts w:ascii="Tahoma" w:hAnsi="Tahoma" w:cs="Tahoma"/>
          <w:b/>
        </w:rPr>
        <w:t xml:space="preserve"> HIES</w:t>
      </w:r>
    </w:p>
    <w:tbl>
      <w:tblPr>
        <w:tblW w:w="9289" w:type="dxa"/>
        <w:tblLook w:val="04A0" w:firstRow="1" w:lastRow="0" w:firstColumn="1" w:lastColumn="0" w:noHBand="0" w:noVBand="1"/>
      </w:tblPr>
      <w:tblGrid>
        <w:gridCol w:w="2344"/>
        <w:gridCol w:w="1190"/>
        <w:gridCol w:w="1318"/>
        <w:gridCol w:w="1128"/>
        <w:gridCol w:w="1091"/>
        <w:gridCol w:w="925"/>
        <w:gridCol w:w="1293"/>
      </w:tblGrid>
      <w:tr w:rsidR="0075764B" w:rsidRPr="00A1583F" w:rsidTr="00490847">
        <w:trPr>
          <w:trHeight w:val="271"/>
        </w:trPr>
        <w:tc>
          <w:tcPr>
            <w:tcW w:w="2344" w:type="dxa"/>
            <w:tcBorders>
              <w:top w:val="single" w:sz="8" w:space="0" w:color="auto"/>
              <w:left w:val="single" w:sz="8" w:space="0" w:color="auto"/>
              <w:bottom w:val="nil"/>
              <w:right w:val="single" w:sz="8" w:space="0" w:color="auto"/>
            </w:tcBorders>
            <w:shd w:val="clear" w:color="auto" w:fill="auto"/>
            <w:noWrap/>
            <w:vAlign w:val="bottom"/>
            <w:hideMark/>
          </w:tcPr>
          <w:p w:rsidR="0075764B" w:rsidRPr="00A1583F" w:rsidRDefault="0075764B" w:rsidP="0075764B">
            <w:pPr>
              <w:spacing w:before="40" w:after="40" w:line="240" w:lineRule="auto"/>
              <w:rPr>
                <w:rFonts w:asciiTheme="minorHAnsi" w:hAnsiTheme="minorHAnsi" w:cstheme="minorHAnsi"/>
                <w:b/>
                <w:sz w:val="18"/>
                <w:szCs w:val="18"/>
                <w:lang w:val="en-US"/>
              </w:rPr>
            </w:pPr>
            <w:bookmarkStart w:id="2" w:name="OLE_LINK2"/>
            <w:r w:rsidRPr="00A1583F">
              <w:rPr>
                <w:rFonts w:asciiTheme="minorHAnsi" w:hAnsiTheme="minorHAnsi" w:cstheme="minorHAnsi"/>
                <w:b/>
                <w:sz w:val="18"/>
                <w:szCs w:val="18"/>
                <w:lang w:val="en-US"/>
              </w:rPr>
              <w:t> </w:t>
            </w:r>
          </w:p>
        </w:tc>
        <w:tc>
          <w:tcPr>
            <w:tcW w:w="2508" w:type="dxa"/>
            <w:gridSpan w:val="2"/>
            <w:tcBorders>
              <w:top w:val="single" w:sz="8" w:space="0" w:color="auto"/>
              <w:left w:val="single" w:sz="8" w:space="0" w:color="auto"/>
              <w:bottom w:val="nil"/>
              <w:right w:val="single" w:sz="8" w:space="0" w:color="000000"/>
            </w:tcBorders>
            <w:shd w:val="clear" w:color="auto" w:fill="auto"/>
            <w:noWrap/>
            <w:vAlign w:val="bottom"/>
            <w:hideMark/>
          </w:tcPr>
          <w:p w:rsidR="0075764B" w:rsidRPr="00A1583F" w:rsidRDefault="0075764B" w:rsidP="0075764B">
            <w:pPr>
              <w:spacing w:before="40" w:after="40" w:line="240" w:lineRule="auto"/>
              <w:jc w:val="center"/>
              <w:rPr>
                <w:rFonts w:asciiTheme="minorHAnsi" w:hAnsiTheme="minorHAnsi" w:cstheme="minorHAnsi"/>
                <w:b/>
                <w:sz w:val="18"/>
                <w:szCs w:val="18"/>
                <w:lang w:val="en-US"/>
              </w:rPr>
            </w:pPr>
            <w:r w:rsidRPr="00A1583F">
              <w:rPr>
                <w:rFonts w:asciiTheme="minorHAnsi" w:hAnsiTheme="minorHAnsi" w:cstheme="minorHAnsi"/>
                <w:b/>
                <w:sz w:val="18"/>
                <w:szCs w:val="18"/>
                <w:lang w:val="en-US"/>
              </w:rPr>
              <w:t>Rural</w:t>
            </w:r>
          </w:p>
        </w:tc>
        <w:tc>
          <w:tcPr>
            <w:tcW w:w="2219" w:type="dxa"/>
            <w:gridSpan w:val="2"/>
            <w:tcBorders>
              <w:top w:val="single" w:sz="8" w:space="0" w:color="auto"/>
              <w:left w:val="single" w:sz="8" w:space="0" w:color="auto"/>
              <w:bottom w:val="nil"/>
              <w:right w:val="single" w:sz="8" w:space="0" w:color="000000"/>
            </w:tcBorders>
            <w:shd w:val="clear" w:color="auto" w:fill="auto"/>
            <w:noWrap/>
            <w:vAlign w:val="bottom"/>
            <w:hideMark/>
          </w:tcPr>
          <w:p w:rsidR="0075764B" w:rsidRPr="00A1583F" w:rsidRDefault="0075764B" w:rsidP="0075764B">
            <w:pPr>
              <w:spacing w:before="40" w:after="40" w:line="240" w:lineRule="auto"/>
              <w:jc w:val="center"/>
              <w:rPr>
                <w:rFonts w:asciiTheme="minorHAnsi" w:hAnsiTheme="minorHAnsi" w:cstheme="minorHAnsi"/>
                <w:b/>
                <w:sz w:val="18"/>
                <w:szCs w:val="18"/>
                <w:lang w:val="en-US"/>
              </w:rPr>
            </w:pPr>
            <w:r w:rsidRPr="00A1583F">
              <w:rPr>
                <w:rFonts w:asciiTheme="minorHAnsi" w:hAnsiTheme="minorHAnsi" w:cstheme="minorHAnsi"/>
                <w:b/>
                <w:sz w:val="18"/>
                <w:szCs w:val="18"/>
                <w:lang w:val="en-US"/>
              </w:rPr>
              <w:t>Urban</w:t>
            </w:r>
          </w:p>
        </w:tc>
        <w:tc>
          <w:tcPr>
            <w:tcW w:w="2218" w:type="dxa"/>
            <w:gridSpan w:val="2"/>
            <w:tcBorders>
              <w:top w:val="single" w:sz="8" w:space="0" w:color="auto"/>
              <w:left w:val="nil"/>
              <w:bottom w:val="nil"/>
              <w:right w:val="single" w:sz="8" w:space="0" w:color="000000"/>
            </w:tcBorders>
            <w:shd w:val="clear" w:color="auto" w:fill="auto"/>
            <w:noWrap/>
            <w:vAlign w:val="bottom"/>
            <w:hideMark/>
          </w:tcPr>
          <w:p w:rsidR="0075764B" w:rsidRPr="00A1583F" w:rsidRDefault="0075764B" w:rsidP="0075764B">
            <w:pPr>
              <w:spacing w:before="40" w:after="40" w:line="240" w:lineRule="auto"/>
              <w:jc w:val="center"/>
              <w:rPr>
                <w:rFonts w:asciiTheme="minorHAnsi" w:hAnsiTheme="minorHAnsi" w:cstheme="minorHAnsi"/>
                <w:b/>
                <w:sz w:val="18"/>
                <w:szCs w:val="18"/>
                <w:lang w:val="en-US"/>
              </w:rPr>
            </w:pPr>
            <w:r w:rsidRPr="00A1583F">
              <w:rPr>
                <w:rFonts w:asciiTheme="minorHAnsi" w:hAnsiTheme="minorHAnsi" w:cstheme="minorHAnsi"/>
                <w:b/>
                <w:sz w:val="18"/>
                <w:szCs w:val="18"/>
                <w:lang w:val="en-US"/>
              </w:rPr>
              <w:t>Vanuatu</w:t>
            </w:r>
          </w:p>
        </w:tc>
      </w:tr>
      <w:tr w:rsidR="0075764B" w:rsidRPr="00A1583F" w:rsidTr="00490847">
        <w:trPr>
          <w:trHeight w:val="271"/>
        </w:trPr>
        <w:tc>
          <w:tcPr>
            <w:tcW w:w="2344" w:type="dxa"/>
            <w:tcBorders>
              <w:top w:val="nil"/>
              <w:left w:val="single" w:sz="8" w:space="0" w:color="auto"/>
              <w:bottom w:val="single" w:sz="8" w:space="0" w:color="auto"/>
              <w:right w:val="single" w:sz="8" w:space="0" w:color="auto"/>
            </w:tcBorders>
            <w:shd w:val="clear" w:color="auto" w:fill="auto"/>
            <w:noWrap/>
            <w:vAlign w:val="bottom"/>
            <w:hideMark/>
          </w:tcPr>
          <w:p w:rsidR="0075764B" w:rsidRPr="00A1583F" w:rsidRDefault="0075764B" w:rsidP="0075764B">
            <w:pPr>
              <w:spacing w:before="40" w:after="40" w:line="240" w:lineRule="auto"/>
              <w:rPr>
                <w:rFonts w:asciiTheme="minorHAnsi" w:hAnsiTheme="minorHAnsi" w:cstheme="minorHAnsi"/>
                <w:b/>
                <w:sz w:val="18"/>
                <w:szCs w:val="18"/>
                <w:lang w:val="en-US"/>
              </w:rPr>
            </w:pPr>
            <w:r w:rsidRPr="00A1583F">
              <w:rPr>
                <w:rFonts w:asciiTheme="minorHAnsi" w:hAnsiTheme="minorHAnsi" w:cstheme="minorHAnsi"/>
                <w:b/>
                <w:sz w:val="18"/>
                <w:szCs w:val="18"/>
                <w:lang w:val="en-US"/>
              </w:rPr>
              <w:t>Type of expenditure</w:t>
            </w:r>
          </w:p>
        </w:tc>
        <w:tc>
          <w:tcPr>
            <w:tcW w:w="1190" w:type="dxa"/>
            <w:tcBorders>
              <w:top w:val="nil"/>
              <w:left w:val="nil"/>
              <w:bottom w:val="single" w:sz="8" w:space="0" w:color="auto"/>
              <w:right w:val="nil"/>
            </w:tcBorders>
            <w:shd w:val="clear" w:color="auto" w:fill="auto"/>
            <w:noWrap/>
            <w:vAlign w:val="bottom"/>
            <w:hideMark/>
          </w:tcPr>
          <w:p w:rsidR="0075764B" w:rsidRPr="00A1583F" w:rsidRDefault="0075764B" w:rsidP="0075764B">
            <w:pPr>
              <w:spacing w:before="40" w:after="40" w:line="240" w:lineRule="auto"/>
              <w:jc w:val="right"/>
              <w:rPr>
                <w:rFonts w:asciiTheme="minorHAnsi" w:hAnsiTheme="minorHAnsi" w:cstheme="minorHAnsi"/>
                <w:b/>
                <w:sz w:val="18"/>
                <w:szCs w:val="18"/>
                <w:lang w:val="en-US"/>
              </w:rPr>
            </w:pPr>
            <w:r w:rsidRPr="00A1583F">
              <w:rPr>
                <w:rFonts w:asciiTheme="minorHAnsi" w:hAnsiTheme="minorHAnsi" w:cstheme="minorHAnsi"/>
                <w:b/>
                <w:sz w:val="18"/>
                <w:szCs w:val="18"/>
                <w:lang w:val="en-US"/>
              </w:rPr>
              <w:t>Annual</w:t>
            </w:r>
          </w:p>
        </w:tc>
        <w:tc>
          <w:tcPr>
            <w:tcW w:w="1318" w:type="dxa"/>
            <w:tcBorders>
              <w:top w:val="nil"/>
              <w:left w:val="nil"/>
              <w:bottom w:val="single" w:sz="8" w:space="0" w:color="auto"/>
              <w:right w:val="single" w:sz="8" w:space="0" w:color="auto"/>
            </w:tcBorders>
            <w:shd w:val="clear" w:color="auto" w:fill="auto"/>
            <w:noWrap/>
            <w:vAlign w:val="bottom"/>
            <w:hideMark/>
          </w:tcPr>
          <w:p w:rsidR="0075764B" w:rsidRPr="00A1583F" w:rsidRDefault="0075764B" w:rsidP="0075764B">
            <w:pPr>
              <w:spacing w:before="40" w:after="40" w:line="240" w:lineRule="auto"/>
              <w:jc w:val="right"/>
              <w:rPr>
                <w:rFonts w:asciiTheme="minorHAnsi" w:hAnsiTheme="minorHAnsi" w:cstheme="minorHAnsi"/>
                <w:b/>
                <w:sz w:val="18"/>
                <w:szCs w:val="18"/>
                <w:lang w:val="en-US"/>
              </w:rPr>
            </w:pPr>
            <w:r w:rsidRPr="00A1583F">
              <w:rPr>
                <w:rFonts w:asciiTheme="minorHAnsi" w:hAnsiTheme="minorHAnsi" w:cstheme="minorHAnsi"/>
                <w:b/>
                <w:sz w:val="18"/>
                <w:szCs w:val="18"/>
                <w:lang w:val="en-US"/>
              </w:rPr>
              <w:t>Month</w:t>
            </w:r>
          </w:p>
        </w:tc>
        <w:tc>
          <w:tcPr>
            <w:tcW w:w="1128" w:type="dxa"/>
            <w:tcBorders>
              <w:top w:val="nil"/>
              <w:left w:val="nil"/>
              <w:bottom w:val="single" w:sz="8" w:space="0" w:color="auto"/>
              <w:right w:val="nil"/>
            </w:tcBorders>
            <w:shd w:val="clear" w:color="auto" w:fill="auto"/>
            <w:noWrap/>
            <w:vAlign w:val="bottom"/>
            <w:hideMark/>
          </w:tcPr>
          <w:p w:rsidR="0075764B" w:rsidRPr="00A1583F" w:rsidRDefault="0075764B" w:rsidP="0075764B">
            <w:pPr>
              <w:spacing w:before="40" w:after="40" w:line="240" w:lineRule="auto"/>
              <w:jc w:val="right"/>
              <w:rPr>
                <w:rFonts w:asciiTheme="minorHAnsi" w:hAnsiTheme="minorHAnsi" w:cstheme="minorHAnsi"/>
                <w:b/>
                <w:sz w:val="18"/>
                <w:szCs w:val="18"/>
                <w:lang w:val="en-US"/>
              </w:rPr>
            </w:pPr>
            <w:r w:rsidRPr="00A1583F">
              <w:rPr>
                <w:rFonts w:asciiTheme="minorHAnsi" w:hAnsiTheme="minorHAnsi" w:cstheme="minorHAnsi"/>
                <w:b/>
                <w:sz w:val="18"/>
                <w:szCs w:val="18"/>
                <w:lang w:val="en-US"/>
              </w:rPr>
              <w:t>Annual</w:t>
            </w:r>
          </w:p>
        </w:tc>
        <w:tc>
          <w:tcPr>
            <w:tcW w:w="1091" w:type="dxa"/>
            <w:tcBorders>
              <w:top w:val="nil"/>
              <w:left w:val="nil"/>
              <w:bottom w:val="single" w:sz="8" w:space="0" w:color="auto"/>
              <w:right w:val="single" w:sz="8" w:space="0" w:color="auto"/>
            </w:tcBorders>
            <w:shd w:val="clear" w:color="auto" w:fill="auto"/>
            <w:noWrap/>
            <w:vAlign w:val="bottom"/>
            <w:hideMark/>
          </w:tcPr>
          <w:p w:rsidR="0075764B" w:rsidRPr="00A1583F" w:rsidRDefault="0075764B" w:rsidP="0075764B">
            <w:pPr>
              <w:spacing w:before="40" w:after="40" w:line="240" w:lineRule="auto"/>
              <w:jc w:val="right"/>
              <w:rPr>
                <w:rFonts w:asciiTheme="minorHAnsi" w:hAnsiTheme="minorHAnsi" w:cstheme="minorHAnsi"/>
                <w:b/>
                <w:sz w:val="18"/>
                <w:szCs w:val="18"/>
                <w:lang w:val="en-US"/>
              </w:rPr>
            </w:pPr>
            <w:r w:rsidRPr="00A1583F">
              <w:rPr>
                <w:rFonts w:asciiTheme="minorHAnsi" w:hAnsiTheme="minorHAnsi" w:cstheme="minorHAnsi"/>
                <w:b/>
                <w:sz w:val="18"/>
                <w:szCs w:val="18"/>
                <w:lang w:val="en-US"/>
              </w:rPr>
              <w:t>Month</w:t>
            </w:r>
          </w:p>
        </w:tc>
        <w:tc>
          <w:tcPr>
            <w:tcW w:w="925" w:type="dxa"/>
            <w:tcBorders>
              <w:top w:val="nil"/>
              <w:left w:val="nil"/>
              <w:bottom w:val="single" w:sz="8" w:space="0" w:color="auto"/>
              <w:right w:val="nil"/>
            </w:tcBorders>
            <w:shd w:val="clear" w:color="auto" w:fill="auto"/>
            <w:noWrap/>
            <w:vAlign w:val="bottom"/>
            <w:hideMark/>
          </w:tcPr>
          <w:p w:rsidR="0075764B" w:rsidRPr="00A1583F" w:rsidRDefault="0075764B" w:rsidP="0075764B">
            <w:pPr>
              <w:spacing w:before="40" w:after="40" w:line="240" w:lineRule="auto"/>
              <w:jc w:val="right"/>
              <w:rPr>
                <w:rFonts w:asciiTheme="minorHAnsi" w:hAnsiTheme="minorHAnsi" w:cstheme="minorHAnsi"/>
                <w:b/>
                <w:sz w:val="18"/>
                <w:szCs w:val="18"/>
                <w:lang w:val="en-US"/>
              </w:rPr>
            </w:pPr>
            <w:r w:rsidRPr="00A1583F">
              <w:rPr>
                <w:rFonts w:asciiTheme="minorHAnsi" w:hAnsiTheme="minorHAnsi" w:cstheme="minorHAnsi"/>
                <w:b/>
                <w:sz w:val="18"/>
                <w:szCs w:val="18"/>
                <w:lang w:val="en-US"/>
              </w:rPr>
              <w:t>Annual</w:t>
            </w:r>
          </w:p>
        </w:tc>
        <w:tc>
          <w:tcPr>
            <w:tcW w:w="1293" w:type="dxa"/>
            <w:tcBorders>
              <w:top w:val="nil"/>
              <w:left w:val="nil"/>
              <w:bottom w:val="single" w:sz="8" w:space="0" w:color="auto"/>
              <w:right w:val="single" w:sz="8" w:space="0" w:color="auto"/>
            </w:tcBorders>
            <w:shd w:val="clear" w:color="auto" w:fill="auto"/>
            <w:vAlign w:val="bottom"/>
            <w:hideMark/>
          </w:tcPr>
          <w:p w:rsidR="0075764B" w:rsidRPr="00A1583F" w:rsidRDefault="0075764B" w:rsidP="0075764B">
            <w:pPr>
              <w:spacing w:before="40" w:after="40" w:line="240" w:lineRule="auto"/>
              <w:jc w:val="right"/>
              <w:rPr>
                <w:rFonts w:asciiTheme="minorHAnsi" w:hAnsiTheme="minorHAnsi" w:cstheme="minorHAnsi"/>
                <w:b/>
                <w:sz w:val="18"/>
                <w:szCs w:val="18"/>
                <w:lang w:val="en-US"/>
              </w:rPr>
            </w:pPr>
            <w:r w:rsidRPr="00A1583F">
              <w:rPr>
                <w:rFonts w:asciiTheme="minorHAnsi" w:hAnsiTheme="minorHAnsi" w:cstheme="minorHAnsi"/>
                <w:b/>
                <w:sz w:val="18"/>
                <w:szCs w:val="18"/>
                <w:lang w:val="en-US"/>
              </w:rPr>
              <w:t>Month</w:t>
            </w:r>
          </w:p>
        </w:tc>
      </w:tr>
      <w:tr w:rsidR="0075764B" w:rsidRPr="00A1583F" w:rsidTr="00490847">
        <w:trPr>
          <w:trHeight w:val="271"/>
        </w:trPr>
        <w:tc>
          <w:tcPr>
            <w:tcW w:w="2344" w:type="dxa"/>
            <w:tcBorders>
              <w:top w:val="nil"/>
              <w:left w:val="single" w:sz="8" w:space="0" w:color="auto"/>
              <w:bottom w:val="nil"/>
              <w:right w:val="single" w:sz="8" w:space="0" w:color="auto"/>
            </w:tcBorders>
            <w:shd w:val="clear" w:color="auto" w:fill="auto"/>
            <w:noWrap/>
            <w:vAlign w:val="bottom"/>
            <w:hideMark/>
          </w:tcPr>
          <w:p w:rsidR="0075764B" w:rsidRPr="00A1583F" w:rsidRDefault="0075764B" w:rsidP="0075764B">
            <w:pPr>
              <w:spacing w:before="40" w:after="40" w:line="240" w:lineRule="auto"/>
              <w:rPr>
                <w:rFonts w:asciiTheme="minorHAnsi" w:hAnsiTheme="minorHAnsi" w:cstheme="minorHAnsi"/>
                <w:sz w:val="18"/>
                <w:szCs w:val="18"/>
                <w:lang w:val="en-US"/>
              </w:rPr>
            </w:pPr>
            <w:r w:rsidRPr="00A1583F">
              <w:rPr>
                <w:rFonts w:asciiTheme="minorHAnsi" w:hAnsiTheme="minorHAnsi" w:cstheme="minorHAnsi"/>
                <w:sz w:val="18"/>
                <w:szCs w:val="18"/>
                <w:lang w:val="en-US"/>
              </w:rPr>
              <w:t>Food</w:t>
            </w:r>
          </w:p>
        </w:tc>
        <w:tc>
          <w:tcPr>
            <w:tcW w:w="1190" w:type="dxa"/>
            <w:tcBorders>
              <w:top w:val="nil"/>
              <w:left w:val="nil"/>
              <w:bottom w:val="nil"/>
              <w:right w:val="nil"/>
            </w:tcBorders>
            <w:shd w:val="clear" w:color="auto" w:fill="auto"/>
            <w:noWrap/>
            <w:vAlign w:val="center"/>
            <w:hideMark/>
          </w:tcPr>
          <w:p w:rsidR="0075764B" w:rsidRPr="00A1583F" w:rsidRDefault="0075764B" w:rsidP="0075764B">
            <w:pPr>
              <w:spacing w:before="40" w:after="40" w:line="240" w:lineRule="auto"/>
              <w:jc w:val="right"/>
              <w:rPr>
                <w:rFonts w:asciiTheme="minorHAnsi" w:hAnsiTheme="minorHAnsi" w:cstheme="minorHAnsi"/>
                <w:sz w:val="18"/>
                <w:szCs w:val="18"/>
              </w:rPr>
            </w:pPr>
            <w:r w:rsidRPr="00A1583F">
              <w:rPr>
                <w:rFonts w:asciiTheme="minorHAnsi" w:hAnsiTheme="minorHAnsi" w:cstheme="minorHAnsi"/>
                <w:sz w:val="18"/>
                <w:szCs w:val="18"/>
                <w:lang w:val="en-US"/>
              </w:rPr>
              <w:t>19,761</w:t>
            </w:r>
          </w:p>
        </w:tc>
        <w:tc>
          <w:tcPr>
            <w:tcW w:w="1318" w:type="dxa"/>
            <w:tcBorders>
              <w:top w:val="nil"/>
              <w:left w:val="nil"/>
              <w:bottom w:val="nil"/>
              <w:right w:val="single" w:sz="8" w:space="0" w:color="auto"/>
            </w:tcBorders>
            <w:shd w:val="clear" w:color="auto" w:fill="auto"/>
            <w:noWrap/>
            <w:vAlign w:val="center"/>
            <w:hideMark/>
          </w:tcPr>
          <w:p w:rsidR="0075764B" w:rsidRPr="00A1583F" w:rsidRDefault="0075764B" w:rsidP="0075764B">
            <w:pPr>
              <w:spacing w:before="40" w:after="40" w:line="240" w:lineRule="auto"/>
              <w:jc w:val="right"/>
              <w:rPr>
                <w:rFonts w:asciiTheme="minorHAnsi" w:hAnsiTheme="minorHAnsi" w:cstheme="minorHAnsi"/>
                <w:sz w:val="18"/>
                <w:szCs w:val="18"/>
              </w:rPr>
            </w:pPr>
            <w:r w:rsidRPr="00A1583F">
              <w:rPr>
                <w:rFonts w:asciiTheme="minorHAnsi" w:hAnsiTheme="minorHAnsi" w:cstheme="minorHAnsi"/>
                <w:sz w:val="18"/>
                <w:szCs w:val="18"/>
                <w:lang w:val="en-US"/>
              </w:rPr>
              <w:t>1,647</w:t>
            </w:r>
          </w:p>
        </w:tc>
        <w:tc>
          <w:tcPr>
            <w:tcW w:w="1128" w:type="dxa"/>
            <w:tcBorders>
              <w:top w:val="nil"/>
              <w:left w:val="nil"/>
              <w:bottom w:val="nil"/>
              <w:right w:val="nil"/>
            </w:tcBorders>
            <w:shd w:val="clear" w:color="auto" w:fill="auto"/>
            <w:noWrap/>
            <w:vAlign w:val="center"/>
            <w:hideMark/>
          </w:tcPr>
          <w:p w:rsidR="0075764B" w:rsidRPr="00A1583F" w:rsidRDefault="0075764B" w:rsidP="0075764B">
            <w:pPr>
              <w:spacing w:before="40" w:after="40" w:line="240" w:lineRule="auto"/>
              <w:jc w:val="right"/>
              <w:rPr>
                <w:rFonts w:asciiTheme="minorHAnsi" w:hAnsiTheme="minorHAnsi" w:cstheme="minorHAnsi"/>
                <w:sz w:val="18"/>
                <w:szCs w:val="18"/>
              </w:rPr>
            </w:pPr>
            <w:r w:rsidRPr="00A1583F">
              <w:rPr>
                <w:rFonts w:asciiTheme="minorHAnsi" w:hAnsiTheme="minorHAnsi" w:cstheme="minorHAnsi"/>
                <w:sz w:val="18"/>
                <w:szCs w:val="18"/>
                <w:lang w:val="en-US"/>
              </w:rPr>
              <w:t>6,183</w:t>
            </w:r>
          </w:p>
        </w:tc>
        <w:tc>
          <w:tcPr>
            <w:tcW w:w="1091" w:type="dxa"/>
            <w:tcBorders>
              <w:top w:val="nil"/>
              <w:left w:val="nil"/>
              <w:bottom w:val="nil"/>
              <w:right w:val="single" w:sz="8" w:space="0" w:color="auto"/>
            </w:tcBorders>
            <w:shd w:val="clear" w:color="auto" w:fill="auto"/>
            <w:noWrap/>
            <w:vAlign w:val="center"/>
            <w:hideMark/>
          </w:tcPr>
          <w:p w:rsidR="0075764B" w:rsidRPr="00A1583F" w:rsidRDefault="0075764B" w:rsidP="0075764B">
            <w:pPr>
              <w:spacing w:before="40" w:after="40" w:line="240" w:lineRule="auto"/>
              <w:jc w:val="right"/>
              <w:rPr>
                <w:rFonts w:asciiTheme="minorHAnsi" w:hAnsiTheme="minorHAnsi" w:cstheme="minorHAnsi"/>
                <w:sz w:val="18"/>
                <w:szCs w:val="18"/>
              </w:rPr>
            </w:pPr>
            <w:r w:rsidRPr="00A1583F">
              <w:rPr>
                <w:rFonts w:asciiTheme="minorHAnsi" w:hAnsiTheme="minorHAnsi" w:cstheme="minorHAnsi"/>
                <w:sz w:val="18"/>
                <w:szCs w:val="18"/>
                <w:lang w:val="en-US"/>
              </w:rPr>
              <w:t>515</w:t>
            </w:r>
          </w:p>
        </w:tc>
        <w:tc>
          <w:tcPr>
            <w:tcW w:w="925" w:type="dxa"/>
            <w:tcBorders>
              <w:top w:val="nil"/>
              <w:left w:val="nil"/>
              <w:bottom w:val="nil"/>
              <w:right w:val="nil"/>
            </w:tcBorders>
            <w:shd w:val="clear" w:color="auto" w:fill="auto"/>
            <w:noWrap/>
            <w:vAlign w:val="center"/>
            <w:hideMark/>
          </w:tcPr>
          <w:p w:rsidR="0075764B" w:rsidRPr="00A1583F" w:rsidRDefault="0075764B" w:rsidP="0075764B">
            <w:pPr>
              <w:spacing w:before="40" w:after="40" w:line="240" w:lineRule="auto"/>
              <w:jc w:val="right"/>
              <w:rPr>
                <w:rFonts w:asciiTheme="minorHAnsi" w:hAnsiTheme="minorHAnsi" w:cstheme="minorHAnsi"/>
                <w:sz w:val="18"/>
                <w:szCs w:val="18"/>
              </w:rPr>
            </w:pPr>
            <w:r w:rsidRPr="00A1583F">
              <w:rPr>
                <w:rFonts w:asciiTheme="minorHAnsi" w:hAnsiTheme="minorHAnsi" w:cstheme="minorHAnsi"/>
                <w:sz w:val="18"/>
                <w:szCs w:val="18"/>
                <w:lang w:val="en-US"/>
              </w:rPr>
              <w:t>25,944</w:t>
            </w:r>
          </w:p>
        </w:tc>
        <w:tc>
          <w:tcPr>
            <w:tcW w:w="1293" w:type="dxa"/>
            <w:tcBorders>
              <w:top w:val="nil"/>
              <w:left w:val="nil"/>
              <w:bottom w:val="nil"/>
              <w:right w:val="single" w:sz="8" w:space="0" w:color="auto"/>
            </w:tcBorders>
            <w:shd w:val="clear" w:color="auto" w:fill="auto"/>
            <w:noWrap/>
            <w:vAlign w:val="center"/>
            <w:hideMark/>
          </w:tcPr>
          <w:p w:rsidR="0075764B" w:rsidRPr="00A1583F" w:rsidRDefault="0075764B" w:rsidP="0075764B">
            <w:pPr>
              <w:spacing w:before="40" w:after="40" w:line="240" w:lineRule="auto"/>
              <w:jc w:val="right"/>
              <w:rPr>
                <w:rFonts w:asciiTheme="minorHAnsi" w:hAnsiTheme="minorHAnsi" w:cstheme="minorHAnsi"/>
                <w:sz w:val="18"/>
                <w:szCs w:val="18"/>
              </w:rPr>
            </w:pPr>
            <w:r w:rsidRPr="00A1583F">
              <w:rPr>
                <w:rFonts w:asciiTheme="minorHAnsi" w:hAnsiTheme="minorHAnsi" w:cstheme="minorHAnsi"/>
                <w:sz w:val="18"/>
                <w:szCs w:val="18"/>
                <w:lang w:val="en-US"/>
              </w:rPr>
              <w:t>2,162</w:t>
            </w:r>
          </w:p>
        </w:tc>
      </w:tr>
      <w:tr w:rsidR="0075764B" w:rsidRPr="00A1583F" w:rsidTr="00490847">
        <w:trPr>
          <w:trHeight w:val="271"/>
        </w:trPr>
        <w:tc>
          <w:tcPr>
            <w:tcW w:w="2344" w:type="dxa"/>
            <w:tcBorders>
              <w:top w:val="nil"/>
              <w:left w:val="single" w:sz="8" w:space="0" w:color="auto"/>
              <w:bottom w:val="nil"/>
              <w:right w:val="single" w:sz="8" w:space="0" w:color="auto"/>
            </w:tcBorders>
            <w:shd w:val="clear" w:color="auto" w:fill="auto"/>
            <w:noWrap/>
            <w:vAlign w:val="bottom"/>
            <w:hideMark/>
          </w:tcPr>
          <w:p w:rsidR="0075764B" w:rsidRPr="00A1583F" w:rsidRDefault="0075764B" w:rsidP="0075764B">
            <w:pPr>
              <w:spacing w:before="40" w:after="40" w:line="240" w:lineRule="auto"/>
              <w:rPr>
                <w:rFonts w:asciiTheme="minorHAnsi" w:hAnsiTheme="minorHAnsi" w:cstheme="minorHAnsi"/>
                <w:sz w:val="18"/>
                <w:szCs w:val="18"/>
                <w:lang w:val="en-US"/>
              </w:rPr>
            </w:pPr>
            <w:r w:rsidRPr="00A1583F">
              <w:rPr>
                <w:rFonts w:asciiTheme="minorHAnsi" w:hAnsiTheme="minorHAnsi" w:cstheme="minorHAnsi"/>
                <w:sz w:val="18"/>
                <w:szCs w:val="18"/>
                <w:lang w:val="en-US"/>
              </w:rPr>
              <w:t>Housing</w:t>
            </w:r>
          </w:p>
        </w:tc>
        <w:tc>
          <w:tcPr>
            <w:tcW w:w="1190" w:type="dxa"/>
            <w:tcBorders>
              <w:top w:val="nil"/>
              <w:left w:val="nil"/>
              <w:bottom w:val="nil"/>
              <w:right w:val="nil"/>
            </w:tcBorders>
            <w:shd w:val="clear" w:color="auto" w:fill="auto"/>
            <w:noWrap/>
            <w:vAlign w:val="center"/>
            <w:hideMark/>
          </w:tcPr>
          <w:p w:rsidR="0075764B" w:rsidRPr="00A1583F" w:rsidRDefault="0075764B" w:rsidP="0075764B">
            <w:pPr>
              <w:spacing w:before="40" w:after="40" w:line="240" w:lineRule="auto"/>
              <w:jc w:val="right"/>
              <w:rPr>
                <w:rFonts w:asciiTheme="minorHAnsi" w:hAnsiTheme="minorHAnsi" w:cstheme="minorHAnsi"/>
                <w:sz w:val="18"/>
                <w:szCs w:val="18"/>
              </w:rPr>
            </w:pPr>
            <w:r w:rsidRPr="00A1583F">
              <w:rPr>
                <w:rFonts w:asciiTheme="minorHAnsi" w:hAnsiTheme="minorHAnsi" w:cstheme="minorHAnsi"/>
                <w:sz w:val="18"/>
                <w:szCs w:val="18"/>
                <w:lang w:val="en-US"/>
              </w:rPr>
              <w:t>1,537</w:t>
            </w:r>
          </w:p>
        </w:tc>
        <w:tc>
          <w:tcPr>
            <w:tcW w:w="1318" w:type="dxa"/>
            <w:tcBorders>
              <w:top w:val="nil"/>
              <w:left w:val="nil"/>
              <w:bottom w:val="nil"/>
              <w:right w:val="single" w:sz="8" w:space="0" w:color="auto"/>
            </w:tcBorders>
            <w:shd w:val="clear" w:color="auto" w:fill="auto"/>
            <w:noWrap/>
            <w:vAlign w:val="center"/>
            <w:hideMark/>
          </w:tcPr>
          <w:p w:rsidR="0075764B" w:rsidRPr="00A1583F" w:rsidRDefault="0075764B" w:rsidP="0075764B">
            <w:pPr>
              <w:spacing w:before="40" w:after="40" w:line="240" w:lineRule="auto"/>
              <w:jc w:val="right"/>
              <w:rPr>
                <w:rFonts w:asciiTheme="minorHAnsi" w:hAnsiTheme="minorHAnsi" w:cstheme="minorHAnsi"/>
                <w:sz w:val="18"/>
                <w:szCs w:val="18"/>
              </w:rPr>
            </w:pPr>
            <w:r w:rsidRPr="00A1583F">
              <w:rPr>
                <w:rFonts w:asciiTheme="minorHAnsi" w:hAnsiTheme="minorHAnsi" w:cstheme="minorHAnsi"/>
                <w:sz w:val="18"/>
                <w:szCs w:val="18"/>
                <w:lang w:val="en-US"/>
              </w:rPr>
              <w:t>128</w:t>
            </w:r>
          </w:p>
        </w:tc>
        <w:tc>
          <w:tcPr>
            <w:tcW w:w="1128" w:type="dxa"/>
            <w:tcBorders>
              <w:top w:val="nil"/>
              <w:left w:val="nil"/>
              <w:bottom w:val="nil"/>
              <w:right w:val="nil"/>
            </w:tcBorders>
            <w:shd w:val="clear" w:color="auto" w:fill="auto"/>
            <w:noWrap/>
            <w:vAlign w:val="center"/>
            <w:hideMark/>
          </w:tcPr>
          <w:p w:rsidR="0075764B" w:rsidRPr="00A1583F" w:rsidRDefault="0075764B" w:rsidP="0075764B">
            <w:pPr>
              <w:spacing w:before="40" w:after="40" w:line="240" w:lineRule="auto"/>
              <w:jc w:val="right"/>
              <w:rPr>
                <w:rFonts w:asciiTheme="minorHAnsi" w:hAnsiTheme="minorHAnsi" w:cstheme="minorHAnsi"/>
                <w:sz w:val="18"/>
                <w:szCs w:val="18"/>
              </w:rPr>
            </w:pPr>
            <w:r w:rsidRPr="00A1583F">
              <w:rPr>
                <w:rFonts w:asciiTheme="minorHAnsi" w:hAnsiTheme="minorHAnsi" w:cstheme="minorHAnsi"/>
                <w:sz w:val="18"/>
                <w:szCs w:val="18"/>
                <w:lang w:val="en-US"/>
              </w:rPr>
              <w:t>1,629</w:t>
            </w:r>
          </w:p>
        </w:tc>
        <w:tc>
          <w:tcPr>
            <w:tcW w:w="1091" w:type="dxa"/>
            <w:tcBorders>
              <w:top w:val="nil"/>
              <w:left w:val="nil"/>
              <w:bottom w:val="nil"/>
              <w:right w:val="single" w:sz="8" w:space="0" w:color="auto"/>
            </w:tcBorders>
            <w:shd w:val="clear" w:color="auto" w:fill="auto"/>
            <w:noWrap/>
            <w:vAlign w:val="center"/>
            <w:hideMark/>
          </w:tcPr>
          <w:p w:rsidR="0075764B" w:rsidRPr="00A1583F" w:rsidRDefault="0075764B" w:rsidP="0075764B">
            <w:pPr>
              <w:spacing w:before="40" w:after="40" w:line="240" w:lineRule="auto"/>
              <w:jc w:val="right"/>
              <w:rPr>
                <w:rFonts w:asciiTheme="minorHAnsi" w:hAnsiTheme="minorHAnsi" w:cstheme="minorHAnsi"/>
                <w:sz w:val="18"/>
                <w:szCs w:val="18"/>
              </w:rPr>
            </w:pPr>
            <w:r w:rsidRPr="00A1583F">
              <w:rPr>
                <w:rFonts w:asciiTheme="minorHAnsi" w:hAnsiTheme="minorHAnsi" w:cstheme="minorHAnsi"/>
                <w:sz w:val="18"/>
                <w:szCs w:val="18"/>
                <w:lang w:val="en-US"/>
              </w:rPr>
              <w:t>136</w:t>
            </w:r>
          </w:p>
        </w:tc>
        <w:tc>
          <w:tcPr>
            <w:tcW w:w="925" w:type="dxa"/>
            <w:tcBorders>
              <w:top w:val="nil"/>
              <w:left w:val="nil"/>
              <w:bottom w:val="nil"/>
              <w:right w:val="nil"/>
            </w:tcBorders>
            <w:shd w:val="clear" w:color="auto" w:fill="auto"/>
            <w:noWrap/>
            <w:vAlign w:val="center"/>
            <w:hideMark/>
          </w:tcPr>
          <w:p w:rsidR="0075764B" w:rsidRPr="00A1583F" w:rsidRDefault="0075764B" w:rsidP="0075764B">
            <w:pPr>
              <w:spacing w:before="40" w:after="40" w:line="240" w:lineRule="auto"/>
              <w:jc w:val="right"/>
              <w:rPr>
                <w:rFonts w:asciiTheme="minorHAnsi" w:hAnsiTheme="minorHAnsi" w:cstheme="minorHAnsi"/>
                <w:sz w:val="18"/>
                <w:szCs w:val="18"/>
              </w:rPr>
            </w:pPr>
            <w:r w:rsidRPr="00A1583F">
              <w:rPr>
                <w:rFonts w:asciiTheme="minorHAnsi" w:hAnsiTheme="minorHAnsi" w:cstheme="minorHAnsi"/>
                <w:sz w:val="18"/>
                <w:szCs w:val="18"/>
                <w:lang w:val="en-US"/>
              </w:rPr>
              <w:t>3,166</w:t>
            </w:r>
          </w:p>
        </w:tc>
        <w:tc>
          <w:tcPr>
            <w:tcW w:w="1293" w:type="dxa"/>
            <w:tcBorders>
              <w:top w:val="nil"/>
              <w:left w:val="nil"/>
              <w:bottom w:val="nil"/>
              <w:right w:val="single" w:sz="8" w:space="0" w:color="auto"/>
            </w:tcBorders>
            <w:shd w:val="clear" w:color="auto" w:fill="auto"/>
            <w:noWrap/>
            <w:vAlign w:val="center"/>
            <w:hideMark/>
          </w:tcPr>
          <w:p w:rsidR="0075764B" w:rsidRPr="00A1583F" w:rsidRDefault="0075764B" w:rsidP="0075764B">
            <w:pPr>
              <w:spacing w:before="40" w:after="40" w:line="240" w:lineRule="auto"/>
              <w:jc w:val="right"/>
              <w:rPr>
                <w:rFonts w:asciiTheme="minorHAnsi" w:hAnsiTheme="minorHAnsi" w:cstheme="minorHAnsi"/>
                <w:sz w:val="18"/>
                <w:szCs w:val="18"/>
              </w:rPr>
            </w:pPr>
            <w:r w:rsidRPr="00A1583F">
              <w:rPr>
                <w:rFonts w:asciiTheme="minorHAnsi" w:hAnsiTheme="minorHAnsi" w:cstheme="minorHAnsi"/>
                <w:sz w:val="18"/>
                <w:szCs w:val="18"/>
                <w:lang w:val="en-US"/>
              </w:rPr>
              <w:t>264</w:t>
            </w:r>
          </w:p>
        </w:tc>
      </w:tr>
      <w:tr w:rsidR="0075764B" w:rsidRPr="00A1583F" w:rsidTr="00490847">
        <w:trPr>
          <w:trHeight w:val="271"/>
        </w:trPr>
        <w:tc>
          <w:tcPr>
            <w:tcW w:w="2344" w:type="dxa"/>
            <w:tcBorders>
              <w:top w:val="nil"/>
              <w:left w:val="single" w:sz="8" w:space="0" w:color="auto"/>
              <w:bottom w:val="nil"/>
              <w:right w:val="single" w:sz="8" w:space="0" w:color="auto"/>
            </w:tcBorders>
            <w:shd w:val="clear" w:color="auto" w:fill="auto"/>
            <w:noWrap/>
            <w:vAlign w:val="bottom"/>
            <w:hideMark/>
          </w:tcPr>
          <w:p w:rsidR="0075764B" w:rsidRPr="00A1583F" w:rsidRDefault="0075764B" w:rsidP="0075764B">
            <w:pPr>
              <w:spacing w:before="40" w:after="40" w:line="240" w:lineRule="auto"/>
              <w:rPr>
                <w:rFonts w:asciiTheme="minorHAnsi" w:hAnsiTheme="minorHAnsi" w:cstheme="minorHAnsi"/>
                <w:sz w:val="18"/>
                <w:szCs w:val="18"/>
                <w:lang w:val="en-US"/>
              </w:rPr>
            </w:pPr>
            <w:r w:rsidRPr="00A1583F">
              <w:rPr>
                <w:rFonts w:asciiTheme="minorHAnsi" w:hAnsiTheme="minorHAnsi" w:cstheme="minorHAnsi"/>
                <w:sz w:val="18"/>
                <w:szCs w:val="18"/>
                <w:lang w:val="en-US"/>
              </w:rPr>
              <w:t>House hold operation</w:t>
            </w:r>
          </w:p>
        </w:tc>
        <w:tc>
          <w:tcPr>
            <w:tcW w:w="1190" w:type="dxa"/>
            <w:tcBorders>
              <w:top w:val="nil"/>
              <w:left w:val="nil"/>
              <w:bottom w:val="nil"/>
              <w:right w:val="nil"/>
            </w:tcBorders>
            <w:shd w:val="clear" w:color="auto" w:fill="auto"/>
            <w:noWrap/>
            <w:vAlign w:val="center"/>
            <w:hideMark/>
          </w:tcPr>
          <w:p w:rsidR="0075764B" w:rsidRPr="00A1583F" w:rsidRDefault="0075764B" w:rsidP="0075764B">
            <w:pPr>
              <w:spacing w:before="40" w:after="40" w:line="240" w:lineRule="auto"/>
              <w:jc w:val="right"/>
              <w:rPr>
                <w:rFonts w:asciiTheme="minorHAnsi" w:hAnsiTheme="minorHAnsi" w:cstheme="minorHAnsi"/>
                <w:sz w:val="18"/>
                <w:szCs w:val="18"/>
              </w:rPr>
            </w:pPr>
            <w:r w:rsidRPr="00A1583F">
              <w:rPr>
                <w:rFonts w:asciiTheme="minorHAnsi" w:hAnsiTheme="minorHAnsi" w:cstheme="minorHAnsi"/>
                <w:sz w:val="18"/>
                <w:szCs w:val="18"/>
                <w:lang w:val="en-US"/>
              </w:rPr>
              <w:t>3,570</w:t>
            </w:r>
          </w:p>
        </w:tc>
        <w:tc>
          <w:tcPr>
            <w:tcW w:w="1318" w:type="dxa"/>
            <w:tcBorders>
              <w:top w:val="nil"/>
              <w:left w:val="nil"/>
              <w:bottom w:val="nil"/>
              <w:right w:val="single" w:sz="8" w:space="0" w:color="auto"/>
            </w:tcBorders>
            <w:shd w:val="clear" w:color="auto" w:fill="auto"/>
            <w:noWrap/>
            <w:vAlign w:val="center"/>
            <w:hideMark/>
          </w:tcPr>
          <w:p w:rsidR="0075764B" w:rsidRPr="00A1583F" w:rsidRDefault="0075764B" w:rsidP="0075764B">
            <w:pPr>
              <w:spacing w:before="40" w:after="40" w:line="240" w:lineRule="auto"/>
              <w:jc w:val="right"/>
              <w:rPr>
                <w:rFonts w:asciiTheme="minorHAnsi" w:hAnsiTheme="minorHAnsi" w:cstheme="minorHAnsi"/>
                <w:sz w:val="18"/>
                <w:szCs w:val="18"/>
              </w:rPr>
            </w:pPr>
            <w:r w:rsidRPr="00A1583F">
              <w:rPr>
                <w:rFonts w:asciiTheme="minorHAnsi" w:hAnsiTheme="minorHAnsi" w:cstheme="minorHAnsi"/>
                <w:sz w:val="18"/>
                <w:szCs w:val="18"/>
                <w:lang w:val="en-US"/>
              </w:rPr>
              <w:t>297</w:t>
            </w:r>
          </w:p>
        </w:tc>
        <w:tc>
          <w:tcPr>
            <w:tcW w:w="1128" w:type="dxa"/>
            <w:tcBorders>
              <w:top w:val="nil"/>
              <w:left w:val="nil"/>
              <w:bottom w:val="nil"/>
              <w:right w:val="nil"/>
            </w:tcBorders>
            <w:shd w:val="clear" w:color="auto" w:fill="auto"/>
            <w:noWrap/>
            <w:vAlign w:val="center"/>
            <w:hideMark/>
          </w:tcPr>
          <w:p w:rsidR="0075764B" w:rsidRPr="00A1583F" w:rsidRDefault="0075764B" w:rsidP="0075764B">
            <w:pPr>
              <w:spacing w:before="40" w:after="40" w:line="240" w:lineRule="auto"/>
              <w:jc w:val="right"/>
              <w:rPr>
                <w:rFonts w:asciiTheme="minorHAnsi" w:hAnsiTheme="minorHAnsi" w:cstheme="minorHAnsi"/>
                <w:sz w:val="18"/>
                <w:szCs w:val="18"/>
              </w:rPr>
            </w:pPr>
            <w:r w:rsidRPr="00A1583F">
              <w:rPr>
                <w:rFonts w:asciiTheme="minorHAnsi" w:hAnsiTheme="minorHAnsi" w:cstheme="minorHAnsi"/>
                <w:sz w:val="18"/>
                <w:szCs w:val="18"/>
                <w:lang w:val="en-US"/>
              </w:rPr>
              <w:t>2,770</w:t>
            </w:r>
          </w:p>
        </w:tc>
        <w:tc>
          <w:tcPr>
            <w:tcW w:w="1091" w:type="dxa"/>
            <w:tcBorders>
              <w:top w:val="nil"/>
              <w:left w:val="nil"/>
              <w:bottom w:val="nil"/>
              <w:right w:val="single" w:sz="8" w:space="0" w:color="auto"/>
            </w:tcBorders>
            <w:shd w:val="clear" w:color="auto" w:fill="auto"/>
            <w:noWrap/>
            <w:vAlign w:val="center"/>
            <w:hideMark/>
          </w:tcPr>
          <w:p w:rsidR="0075764B" w:rsidRPr="00A1583F" w:rsidRDefault="0075764B" w:rsidP="0075764B">
            <w:pPr>
              <w:spacing w:before="40" w:after="40" w:line="240" w:lineRule="auto"/>
              <w:jc w:val="right"/>
              <w:rPr>
                <w:rFonts w:asciiTheme="minorHAnsi" w:hAnsiTheme="minorHAnsi" w:cstheme="minorHAnsi"/>
                <w:sz w:val="18"/>
                <w:szCs w:val="18"/>
              </w:rPr>
            </w:pPr>
            <w:r w:rsidRPr="00A1583F">
              <w:rPr>
                <w:rFonts w:asciiTheme="minorHAnsi" w:hAnsiTheme="minorHAnsi" w:cstheme="minorHAnsi"/>
                <w:sz w:val="18"/>
                <w:szCs w:val="18"/>
                <w:lang w:val="en-US"/>
              </w:rPr>
              <w:t>231</w:t>
            </w:r>
          </w:p>
        </w:tc>
        <w:tc>
          <w:tcPr>
            <w:tcW w:w="925" w:type="dxa"/>
            <w:tcBorders>
              <w:top w:val="nil"/>
              <w:left w:val="nil"/>
              <w:bottom w:val="nil"/>
              <w:right w:val="nil"/>
            </w:tcBorders>
            <w:shd w:val="clear" w:color="auto" w:fill="auto"/>
            <w:noWrap/>
            <w:vAlign w:val="center"/>
            <w:hideMark/>
          </w:tcPr>
          <w:p w:rsidR="0075764B" w:rsidRPr="00A1583F" w:rsidRDefault="0075764B" w:rsidP="0075764B">
            <w:pPr>
              <w:spacing w:before="40" w:after="40" w:line="240" w:lineRule="auto"/>
              <w:jc w:val="right"/>
              <w:rPr>
                <w:rFonts w:asciiTheme="minorHAnsi" w:hAnsiTheme="minorHAnsi" w:cstheme="minorHAnsi"/>
                <w:sz w:val="18"/>
                <w:szCs w:val="18"/>
              </w:rPr>
            </w:pPr>
            <w:r w:rsidRPr="00A1583F">
              <w:rPr>
                <w:rFonts w:asciiTheme="minorHAnsi" w:hAnsiTheme="minorHAnsi" w:cstheme="minorHAnsi"/>
                <w:sz w:val="18"/>
                <w:szCs w:val="18"/>
                <w:lang w:val="en-US"/>
              </w:rPr>
              <w:t>6,340</w:t>
            </w:r>
          </w:p>
        </w:tc>
        <w:tc>
          <w:tcPr>
            <w:tcW w:w="1293" w:type="dxa"/>
            <w:tcBorders>
              <w:top w:val="nil"/>
              <w:left w:val="nil"/>
              <w:bottom w:val="nil"/>
              <w:right w:val="single" w:sz="8" w:space="0" w:color="auto"/>
            </w:tcBorders>
            <w:shd w:val="clear" w:color="auto" w:fill="auto"/>
            <w:noWrap/>
            <w:vAlign w:val="center"/>
            <w:hideMark/>
          </w:tcPr>
          <w:p w:rsidR="0075764B" w:rsidRPr="00A1583F" w:rsidRDefault="0075764B" w:rsidP="0075764B">
            <w:pPr>
              <w:spacing w:before="40" w:after="40" w:line="240" w:lineRule="auto"/>
              <w:jc w:val="right"/>
              <w:rPr>
                <w:rFonts w:asciiTheme="minorHAnsi" w:hAnsiTheme="minorHAnsi" w:cstheme="minorHAnsi"/>
                <w:sz w:val="18"/>
                <w:szCs w:val="18"/>
              </w:rPr>
            </w:pPr>
            <w:r w:rsidRPr="00A1583F">
              <w:rPr>
                <w:rFonts w:asciiTheme="minorHAnsi" w:hAnsiTheme="minorHAnsi" w:cstheme="minorHAnsi"/>
                <w:sz w:val="18"/>
                <w:szCs w:val="18"/>
                <w:lang w:val="en-US"/>
              </w:rPr>
              <w:t>528</w:t>
            </w:r>
          </w:p>
        </w:tc>
      </w:tr>
      <w:tr w:rsidR="0075764B" w:rsidRPr="00A1583F" w:rsidTr="00490847">
        <w:trPr>
          <w:trHeight w:val="271"/>
        </w:trPr>
        <w:tc>
          <w:tcPr>
            <w:tcW w:w="2344" w:type="dxa"/>
            <w:tcBorders>
              <w:top w:val="nil"/>
              <w:left w:val="single" w:sz="8" w:space="0" w:color="auto"/>
              <w:bottom w:val="nil"/>
              <w:right w:val="single" w:sz="8" w:space="0" w:color="auto"/>
            </w:tcBorders>
            <w:shd w:val="clear" w:color="auto" w:fill="auto"/>
            <w:noWrap/>
            <w:vAlign w:val="bottom"/>
            <w:hideMark/>
          </w:tcPr>
          <w:p w:rsidR="0075764B" w:rsidRPr="00A1583F" w:rsidRDefault="0075764B" w:rsidP="0075764B">
            <w:pPr>
              <w:spacing w:before="40" w:after="40" w:line="240" w:lineRule="auto"/>
              <w:rPr>
                <w:rFonts w:asciiTheme="minorHAnsi" w:hAnsiTheme="minorHAnsi" w:cstheme="minorHAnsi"/>
                <w:sz w:val="18"/>
                <w:szCs w:val="18"/>
                <w:lang w:val="en-US"/>
              </w:rPr>
            </w:pPr>
            <w:r w:rsidRPr="00A1583F">
              <w:rPr>
                <w:rFonts w:asciiTheme="minorHAnsi" w:hAnsiTheme="minorHAnsi" w:cstheme="minorHAnsi"/>
                <w:sz w:val="18"/>
                <w:szCs w:val="18"/>
                <w:lang w:val="en-US"/>
              </w:rPr>
              <w:t>Clothing &amp; foot wear</w:t>
            </w:r>
          </w:p>
        </w:tc>
        <w:tc>
          <w:tcPr>
            <w:tcW w:w="1190" w:type="dxa"/>
            <w:tcBorders>
              <w:top w:val="nil"/>
              <w:left w:val="nil"/>
              <w:bottom w:val="nil"/>
              <w:right w:val="nil"/>
            </w:tcBorders>
            <w:shd w:val="clear" w:color="auto" w:fill="auto"/>
            <w:noWrap/>
            <w:vAlign w:val="center"/>
            <w:hideMark/>
          </w:tcPr>
          <w:p w:rsidR="0075764B" w:rsidRPr="00A1583F" w:rsidRDefault="0075764B" w:rsidP="0075764B">
            <w:pPr>
              <w:spacing w:before="40" w:after="40" w:line="240" w:lineRule="auto"/>
              <w:jc w:val="right"/>
              <w:rPr>
                <w:rFonts w:asciiTheme="minorHAnsi" w:hAnsiTheme="minorHAnsi" w:cstheme="minorHAnsi"/>
                <w:sz w:val="18"/>
                <w:szCs w:val="18"/>
              </w:rPr>
            </w:pPr>
            <w:r w:rsidRPr="00A1583F">
              <w:rPr>
                <w:rFonts w:asciiTheme="minorHAnsi" w:hAnsiTheme="minorHAnsi" w:cstheme="minorHAnsi"/>
                <w:sz w:val="18"/>
                <w:szCs w:val="18"/>
              </w:rPr>
              <w:t>75</w:t>
            </w:r>
          </w:p>
        </w:tc>
        <w:tc>
          <w:tcPr>
            <w:tcW w:w="1318" w:type="dxa"/>
            <w:tcBorders>
              <w:top w:val="nil"/>
              <w:left w:val="nil"/>
              <w:bottom w:val="nil"/>
              <w:right w:val="single" w:sz="8" w:space="0" w:color="auto"/>
            </w:tcBorders>
            <w:shd w:val="clear" w:color="auto" w:fill="auto"/>
            <w:noWrap/>
            <w:vAlign w:val="center"/>
            <w:hideMark/>
          </w:tcPr>
          <w:p w:rsidR="0075764B" w:rsidRPr="00A1583F" w:rsidRDefault="0075764B" w:rsidP="0075764B">
            <w:pPr>
              <w:spacing w:before="40" w:after="40" w:line="240" w:lineRule="auto"/>
              <w:jc w:val="right"/>
              <w:rPr>
                <w:rFonts w:asciiTheme="minorHAnsi" w:hAnsiTheme="minorHAnsi" w:cstheme="minorHAnsi"/>
                <w:sz w:val="18"/>
                <w:szCs w:val="18"/>
              </w:rPr>
            </w:pPr>
            <w:r w:rsidRPr="00A1583F">
              <w:rPr>
                <w:rFonts w:asciiTheme="minorHAnsi" w:hAnsiTheme="minorHAnsi" w:cstheme="minorHAnsi"/>
                <w:sz w:val="18"/>
                <w:szCs w:val="18"/>
              </w:rPr>
              <w:t>6</w:t>
            </w:r>
          </w:p>
        </w:tc>
        <w:tc>
          <w:tcPr>
            <w:tcW w:w="1128" w:type="dxa"/>
            <w:tcBorders>
              <w:top w:val="nil"/>
              <w:left w:val="nil"/>
              <w:bottom w:val="nil"/>
              <w:right w:val="nil"/>
            </w:tcBorders>
            <w:shd w:val="clear" w:color="auto" w:fill="auto"/>
            <w:noWrap/>
            <w:vAlign w:val="center"/>
            <w:hideMark/>
          </w:tcPr>
          <w:p w:rsidR="0075764B" w:rsidRPr="00A1583F" w:rsidRDefault="0075764B" w:rsidP="0075764B">
            <w:pPr>
              <w:spacing w:before="40" w:after="40" w:line="240" w:lineRule="auto"/>
              <w:jc w:val="right"/>
              <w:rPr>
                <w:rFonts w:asciiTheme="minorHAnsi" w:hAnsiTheme="minorHAnsi" w:cstheme="minorHAnsi"/>
                <w:sz w:val="18"/>
                <w:szCs w:val="18"/>
              </w:rPr>
            </w:pPr>
            <w:r w:rsidRPr="00A1583F">
              <w:rPr>
                <w:rFonts w:asciiTheme="minorHAnsi" w:hAnsiTheme="minorHAnsi" w:cstheme="minorHAnsi"/>
                <w:sz w:val="18"/>
                <w:szCs w:val="18"/>
              </w:rPr>
              <w:t>96</w:t>
            </w:r>
          </w:p>
        </w:tc>
        <w:tc>
          <w:tcPr>
            <w:tcW w:w="1091" w:type="dxa"/>
            <w:tcBorders>
              <w:top w:val="nil"/>
              <w:left w:val="nil"/>
              <w:bottom w:val="nil"/>
              <w:right w:val="single" w:sz="8" w:space="0" w:color="auto"/>
            </w:tcBorders>
            <w:shd w:val="clear" w:color="auto" w:fill="auto"/>
            <w:noWrap/>
            <w:vAlign w:val="center"/>
            <w:hideMark/>
          </w:tcPr>
          <w:p w:rsidR="0075764B" w:rsidRPr="00A1583F" w:rsidRDefault="0075764B" w:rsidP="0075764B">
            <w:pPr>
              <w:spacing w:before="40" w:after="40" w:line="240" w:lineRule="auto"/>
              <w:jc w:val="right"/>
              <w:rPr>
                <w:rFonts w:asciiTheme="minorHAnsi" w:hAnsiTheme="minorHAnsi" w:cstheme="minorHAnsi"/>
                <w:sz w:val="18"/>
                <w:szCs w:val="18"/>
              </w:rPr>
            </w:pPr>
            <w:r w:rsidRPr="00A1583F">
              <w:rPr>
                <w:rFonts w:asciiTheme="minorHAnsi" w:hAnsiTheme="minorHAnsi" w:cstheme="minorHAnsi"/>
                <w:sz w:val="18"/>
                <w:szCs w:val="18"/>
              </w:rPr>
              <w:t>8</w:t>
            </w:r>
          </w:p>
        </w:tc>
        <w:tc>
          <w:tcPr>
            <w:tcW w:w="925" w:type="dxa"/>
            <w:tcBorders>
              <w:top w:val="nil"/>
              <w:left w:val="nil"/>
              <w:bottom w:val="nil"/>
              <w:right w:val="nil"/>
            </w:tcBorders>
            <w:shd w:val="clear" w:color="auto" w:fill="auto"/>
            <w:noWrap/>
            <w:vAlign w:val="center"/>
            <w:hideMark/>
          </w:tcPr>
          <w:p w:rsidR="0075764B" w:rsidRPr="00A1583F" w:rsidRDefault="0075764B" w:rsidP="0075764B">
            <w:pPr>
              <w:spacing w:before="40" w:after="40" w:line="240" w:lineRule="auto"/>
              <w:jc w:val="right"/>
              <w:rPr>
                <w:rFonts w:asciiTheme="minorHAnsi" w:hAnsiTheme="minorHAnsi" w:cstheme="minorHAnsi"/>
                <w:sz w:val="18"/>
                <w:szCs w:val="18"/>
              </w:rPr>
            </w:pPr>
            <w:r w:rsidRPr="00A1583F">
              <w:rPr>
                <w:rFonts w:asciiTheme="minorHAnsi" w:hAnsiTheme="minorHAnsi" w:cstheme="minorHAnsi"/>
                <w:sz w:val="18"/>
                <w:szCs w:val="18"/>
              </w:rPr>
              <w:t>171</w:t>
            </w:r>
          </w:p>
        </w:tc>
        <w:tc>
          <w:tcPr>
            <w:tcW w:w="1293" w:type="dxa"/>
            <w:tcBorders>
              <w:top w:val="nil"/>
              <w:left w:val="nil"/>
              <w:bottom w:val="nil"/>
              <w:right w:val="single" w:sz="8" w:space="0" w:color="auto"/>
            </w:tcBorders>
            <w:shd w:val="clear" w:color="auto" w:fill="auto"/>
            <w:noWrap/>
            <w:vAlign w:val="center"/>
            <w:hideMark/>
          </w:tcPr>
          <w:p w:rsidR="0075764B" w:rsidRPr="00A1583F" w:rsidRDefault="0075764B" w:rsidP="0075764B">
            <w:pPr>
              <w:spacing w:before="40" w:after="40" w:line="240" w:lineRule="auto"/>
              <w:jc w:val="right"/>
              <w:rPr>
                <w:rFonts w:asciiTheme="minorHAnsi" w:hAnsiTheme="minorHAnsi" w:cstheme="minorHAnsi"/>
                <w:sz w:val="18"/>
                <w:szCs w:val="18"/>
              </w:rPr>
            </w:pPr>
            <w:r w:rsidRPr="00A1583F">
              <w:rPr>
                <w:rFonts w:asciiTheme="minorHAnsi" w:hAnsiTheme="minorHAnsi" w:cstheme="minorHAnsi"/>
                <w:sz w:val="18"/>
                <w:szCs w:val="18"/>
              </w:rPr>
              <w:t>14</w:t>
            </w:r>
          </w:p>
        </w:tc>
      </w:tr>
      <w:tr w:rsidR="0075764B" w:rsidRPr="00A1583F" w:rsidTr="00490847">
        <w:trPr>
          <w:trHeight w:val="271"/>
        </w:trPr>
        <w:tc>
          <w:tcPr>
            <w:tcW w:w="2344" w:type="dxa"/>
            <w:tcBorders>
              <w:top w:val="nil"/>
              <w:left w:val="single" w:sz="8" w:space="0" w:color="auto"/>
              <w:bottom w:val="nil"/>
              <w:right w:val="single" w:sz="8" w:space="0" w:color="auto"/>
            </w:tcBorders>
            <w:shd w:val="clear" w:color="auto" w:fill="auto"/>
            <w:noWrap/>
            <w:vAlign w:val="bottom"/>
            <w:hideMark/>
          </w:tcPr>
          <w:p w:rsidR="0075764B" w:rsidRPr="00A1583F" w:rsidRDefault="0075764B" w:rsidP="0075764B">
            <w:pPr>
              <w:spacing w:before="40" w:after="40" w:line="240" w:lineRule="auto"/>
              <w:rPr>
                <w:rFonts w:asciiTheme="minorHAnsi" w:hAnsiTheme="minorHAnsi" w:cstheme="minorHAnsi"/>
                <w:sz w:val="18"/>
                <w:szCs w:val="18"/>
                <w:lang w:val="en-US"/>
              </w:rPr>
            </w:pPr>
            <w:r w:rsidRPr="00A1583F">
              <w:rPr>
                <w:rFonts w:asciiTheme="minorHAnsi" w:hAnsiTheme="minorHAnsi" w:cstheme="minorHAnsi"/>
                <w:sz w:val="18"/>
                <w:szCs w:val="18"/>
                <w:lang w:val="en-US"/>
              </w:rPr>
              <w:t>Transport</w:t>
            </w:r>
          </w:p>
        </w:tc>
        <w:tc>
          <w:tcPr>
            <w:tcW w:w="1190" w:type="dxa"/>
            <w:tcBorders>
              <w:top w:val="nil"/>
              <w:left w:val="nil"/>
              <w:bottom w:val="nil"/>
              <w:right w:val="nil"/>
            </w:tcBorders>
            <w:shd w:val="clear" w:color="auto" w:fill="auto"/>
            <w:noWrap/>
            <w:vAlign w:val="center"/>
            <w:hideMark/>
          </w:tcPr>
          <w:p w:rsidR="0075764B" w:rsidRPr="00A1583F" w:rsidRDefault="0075764B" w:rsidP="0075764B">
            <w:pPr>
              <w:spacing w:before="40" w:after="40" w:line="240" w:lineRule="auto"/>
              <w:jc w:val="right"/>
              <w:rPr>
                <w:rFonts w:asciiTheme="minorHAnsi" w:hAnsiTheme="minorHAnsi" w:cstheme="minorHAnsi"/>
                <w:sz w:val="18"/>
                <w:szCs w:val="18"/>
              </w:rPr>
            </w:pPr>
            <w:r w:rsidRPr="00A1583F">
              <w:rPr>
                <w:rFonts w:asciiTheme="minorHAnsi" w:hAnsiTheme="minorHAnsi" w:cstheme="minorHAnsi"/>
                <w:sz w:val="18"/>
                <w:szCs w:val="18"/>
              </w:rPr>
              <w:t>1,279</w:t>
            </w:r>
          </w:p>
        </w:tc>
        <w:tc>
          <w:tcPr>
            <w:tcW w:w="1318" w:type="dxa"/>
            <w:tcBorders>
              <w:top w:val="nil"/>
              <w:left w:val="nil"/>
              <w:bottom w:val="nil"/>
              <w:right w:val="single" w:sz="8" w:space="0" w:color="auto"/>
            </w:tcBorders>
            <w:shd w:val="clear" w:color="auto" w:fill="auto"/>
            <w:noWrap/>
            <w:vAlign w:val="center"/>
            <w:hideMark/>
          </w:tcPr>
          <w:p w:rsidR="0075764B" w:rsidRPr="00A1583F" w:rsidRDefault="0075764B" w:rsidP="0075764B">
            <w:pPr>
              <w:spacing w:before="40" w:after="40" w:line="240" w:lineRule="auto"/>
              <w:jc w:val="right"/>
              <w:rPr>
                <w:rFonts w:asciiTheme="minorHAnsi" w:hAnsiTheme="minorHAnsi" w:cstheme="minorHAnsi"/>
                <w:sz w:val="18"/>
                <w:szCs w:val="18"/>
              </w:rPr>
            </w:pPr>
            <w:r w:rsidRPr="00A1583F">
              <w:rPr>
                <w:rFonts w:asciiTheme="minorHAnsi" w:hAnsiTheme="minorHAnsi" w:cstheme="minorHAnsi"/>
                <w:sz w:val="18"/>
                <w:szCs w:val="18"/>
              </w:rPr>
              <w:t>107</w:t>
            </w:r>
          </w:p>
        </w:tc>
        <w:tc>
          <w:tcPr>
            <w:tcW w:w="1128" w:type="dxa"/>
            <w:tcBorders>
              <w:top w:val="nil"/>
              <w:left w:val="nil"/>
              <w:bottom w:val="nil"/>
              <w:right w:val="nil"/>
            </w:tcBorders>
            <w:shd w:val="clear" w:color="auto" w:fill="auto"/>
            <w:noWrap/>
            <w:vAlign w:val="center"/>
            <w:hideMark/>
          </w:tcPr>
          <w:p w:rsidR="0075764B" w:rsidRPr="00A1583F" w:rsidRDefault="0075764B" w:rsidP="0075764B">
            <w:pPr>
              <w:spacing w:before="40" w:after="40" w:line="240" w:lineRule="auto"/>
              <w:jc w:val="right"/>
              <w:rPr>
                <w:rFonts w:asciiTheme="minorHAnsi" w:hAnsiTheme="minorHAnsi" w:cstheme="minorHAnsi"/>
                <w:sz w:val="18"/>
                <w:szCs w:val="18"/>
              </w:rPr>
            </w:pPr>
            <w:r w:rsidRPr="00A1583F">
              <w:rPr>
                <w:rFonts w:asciiTheme="minorHAnsi" w:hAnsiTheme="minorHAnsi" w:cstheme="minorHAnsi"/>
                <w:sz w:val="18"/>
                <w:szCs w:val="18"/>
              </w:rPr>
              <w:t>1,188</w:t>
            </w:r>
          </w:p>
        </w:tc>
        <w:tc>
          <w:tcPr>
            <w:tcW w:w="1091" w:type="dxa"/>
            <w:tcBorders>
              <w:top w:val="nil"/>
              <w:left w:val="nil"/>
              <w:bottom w:val="nil"/>
              <w:right w:val="single" w:sz="8" w:space="0" w:color="auto"/>
            </w:tcBorders>
            <w:shd w:val="clear" w:color="auto" w:fill="auto"/>
            <w:noWrap/>
            <w:vAlign w:val="center"/>
            <w:hideMark/>
          </w:tcPr>
          <w:p w:rsidR="0075764B" w:rsidRPr="00A1583F" w:rsidRDefault="0075764B" w:rsidP="0075764B">
            <w:pPr>
              <w:spacing w:before="40" w:after="40" w:line="240" w:lineRule="auto"/>
              <w:jc w:val="right"/>
              <w:rPr>
                <w:rFonts w:asciiTheme="minorHAnsi" w:hAnsiTheme="minorHAnsi" w:cstheme="minorHAnsi"/>
                <w:sz w:val="18"/>
                <w:szCs w:val="18"/>
              </w:rPr>
            </w:pPr>
            <w:r w:rsidRPr="00A1583F">
              <w:rPr>
                <w:rFonts w:asciiTheme="minorHAnsi" w:hAnsiTheme="minorHAnsi" w:cstheme="minorHAnsi"/>
                <w:sz w:val="18"/>
                <w:szCs w:val="18"/>
              </w:rPr>
              <w:t>99</w:t>
            </w:r>
          </w:p>
        </w:tc>
        <w:tc>
          <w:tcPr>
            <w:tcW w:w="925" w:type="dxa"/>
            <w:tcBorders>
              <w:top w:val="nil"/>
              <w:left w:val="nil"/>
              <w:bottom w:val="nil"/>
              <w:right w:val="nil"/>
            </w:tcBorders>
            <w:shd w:val="clear" w:color="auto" w:fill="auto"/>
            <w:noWrap/>
            <w:vAlign w:val="center"/>
            <w:hideMark/>
          </w:tcPr>
          <w:p w:rsidR="0075764B" w:rsidRPr="00A1583F" w:rsidRDefault="0075764B" w:rsidP="0075764B">
            <w:pPr>
              <w:spacing w:before="40" w:after="40" w:line="240" w:lineRule="auto"/>
              <w:jc w:val="right"/>
              <w:rPr>
                <w:rFonts w:asciiTheme="minorHAnsi" w:hAnsiTheme="minorHAnsi" w:cstheme="minorHAnsi"/>
                <w:sz w:val="18"/>
                <w:szCs w:val="18"/>
              </w:rPr>
            </w:pPr>
            <w:r w:rsidRPr="00A1583F">
              <w:rPr>
                <w:rFonts w:asciiTheme="minorHAnsi" w:hAnsiTheme="minorHAnsi" w:cstheme="minorHAnsi"/>
                <w:sz w:val="18"/>
                <w:szCs w:val="18"/>
              </w:rPr>
              <w:t>2,466</w:t>
            </w:r>
          </w:p>
        </w:tc>
        <w:tc>
          <w:tcPr>
            <w:tcW w:w="1293" w:type="dxa"/>
            <w:tcBorders>
              <w:top w:val="nil"/>
              <w:left w:val="nil"/>
              <w:bottom w:val="nil"/>
              <w:right w:val="single" w:sz="8" w:space="0" w:color="auto"/>
            </w:tcBorders>
            <w:shd w:val="clear" w:color="auto" w:fill="auto"/>
            <w:noWrap/>
            <w:vAlign w:val="center"/>
            <w:hideMark/>
          </w:tcPr>
          <w:p w:rsidR="0075764B" w:rsidRPr="00A1583F" w:rsidRDefault="0075764B" w:rsidP="0075764B">
            <w:pPr>
              <w:spacing w:before="40" w:after="40" w:line="240" w:lineRule="auto"/>
              <w:jc w:val="right"/>
              <w:rPr>
                <w:rFonts w:asciiTheme="minorHAnsi" w:hAnsiTheme="minorHAnsi" w:cstheme="minorHAnsi"/>
                <w:sz w:val="18"/>
                <w:szCs w:val="18"/>
              </w:rPr>
            </w:pPr>
            <w:r w:rsidRPr="00A1583F">
              <w:rPr>
                <w:rFonts w:asciiTheme="minorHAnsi" w:hAnsiTheme="minorHAnsi" w:cstheme="minorHAnsi"/>
                <w:sz w:val="18"/>
                <w:szCs w:val="18"/>
              </w:rPr>
              <w:t>206</w:t>
            </w:r>
          </w:p>
        </w:tc>
      </w:tr>
      <w:tr w:rsidR="0075764B" w:rsidRPr="00A1583F" w:rsidTr="00490847">
        <w:trPr>
          <w:trHeight w:val="271"/>
        </w:trPr>
        <w:tc>
          <w:tcPr>
            <w:tcW w:w="2344" w:type="dxa"/>
            <w:tcBorders>
              <w:top w:val="nil"/>
              <w:left w:val="single" w:sz="8" w:space="0" w:color="auto"/>
              <w:bottom w:val="nil"/>
              <w:right w:val="single" w:sz="8" w:space="0" w:color="auto"/>
            </w:tcBorders>
            <w:shd w:val="clear" w:color="auto" w:fill="auto"/>
            <w:vAlign w:val="bottom"/>
            <w:hideMark/>
          </w:tcPr>
          <w:p w:rsidR="0075764B" w:rsidRPr="00A1583F" w:rsidRDefault="0075764B" w:rsidP="0075764B">
            <w:pPr>
              <w:spacing w:before="40" w:after="40" w:line="240" w:lineRule="auto"/>
              <w:rPr>
                <w:rFonts w:asciiTheme="minorHAnsi" w:hAnsiTheme="minorHAnsi" w:cstheme="minorHAnsi"/>
                <w:sz w:val="18"/>
                <w:szCs w:val="18"/>
                <w:lang w:val="en-US"/>
              </w:rPr>
            </w:pPr>
            <w:r w:rsidRPr="00A1583F">
              <w:rPr>
                <w:rFonts w:asciiTheme="minorHAnsi" w:hAnsiTheme="minorHAnsi" w:cstheme="minorHAnsi"/>
                <w:sz w:val="18"/>
                <w:szCs w:val="18"/>
                <w:lang w:val="en-US"/>
              </w:rPr>
              <w:t>Alcohol, kava &amp; tobacco</w:t>
            </w:r>
          </w:p>
        </w:tc>
        <w:tc>
          <w:tcPr>
            <w:tcW w:w="1190" w:type="dxa"/>
            <w:tcBorders>
              <w:top w:val="nil"/>
              <w:left w:val="nil"/>
              <w:bottom w:val="nil"/>
              <w:right w:val="nil"/>
            </w:tcBorders>
            <w:shd w:val="clear" w:color="auto" w:fill="auto"/>
            <w:noWrap/>
            <w:vAlign w:val="center"/>
            <w:hideMark/>
          </w:tcPr>
          <w:p w:rsidR="0075764B" w:rsidRPr="00A1583F" w:rsidRDefault="0075764B" w:rsidP="0075764B">
            <w:pPr>
              <w:spacing w:before="40" w:after="40" w:line="240" w:lineRule="auto"/>
              <w:jc w:val="right"/>
              <w:rPr>
                <w:rFonts w:asciiTheme="minorHAnsi" w:hAnsiTheme="minorHAnsi" w:cstheme="minorHAnsi"/>
                <w:sz w:val="18"/>
                <w:szCs w:val="18"/>
              </w:rPr>
            </w:pPr>
            <w:r w:rsidRPr="00A1583F">
              <w:rPr>
                <w:rFonts w:asciiTheme="minorHAnsi" w:hAnsiTheme="minorHAnsi" w:cstheme="minorHAnsi"/>
                <w:sz w:val="18"/>
                <w:szCs w:val="18"/>
              </w:rPr>
              <w:t>1,449</w:t>
            </w:r>
          </w:p>
        </w:tc>
        <w:tc>
          <w:tcPr>
            <w:tcW w:w="1318" w:type="dxa"/>
            <w:tcBorders>
              <w:top w:val="nil"/>
              <w:left w:val="nil"/>
              <w:bottom w:val="nil"/>
              <w:right w:val="single" w:sz="8" w:space="0" w:color="auto"/>
            </w:tcBorders>
            <w:shd w:val="clear" w:color="auto" w:fill="auto"/>
            <w:noWrap/>
            <w:vAlign w:val="center"/>
            <w:hideMark/>
          </w:tcPr>
          <w:p w:rsidR="0075764B" w:rsidRPr="00A1583F" w:rsidRDefault="0075764B" w:rsidP="0075764B">
            <w:pPr>
              <w:spacing w:before="40" w:after="40" w:line="240" w:lineRule="auto"/>
              <w:jc w:val="right"/>
              <w:rPr>
                <w:rFonts w:asciiTheme="minorHAnsi" w:hAnsiTheme="minorHAnsi" w:cstheme="minorHAnsi"/>
                <w:sz w:val="18"/>
                <w:szCs w:val="18"/>
              </w:rPr>
            </w:pPr>
            <w:r w:rsidRPr="00A1583F">
              <w:rPr>
                <w:rFonts w:asciiTheme="minorHAnsi" w:hAnsiTheme="minorHAnsi" w:cstheme="minorHAnsi"/>
                <w:sz w:val="18"/>
                <w:szCs w:val="18"/>
              </w:rPr>
              <w:t>121</w:t>
            </w:r>
          </w:p>
        </w:tc>
        <w:tc>
          <w:tcPr>
            <w:tcW w:w="1128" w:type="dxa"/>
            <w:tcBorders>
              <w:top w:val="nil"/>
              <w:left w:val="nil"/>
              <w:bottom w:val="nil"/>
              <w:right w:val="nil"/>
            </w:tcBorders>
            <w:shd w:val="clear" w:color="auto" w:fill="auto"/>
            <w:noWrap/>
            <w:vAlign w:val="center"/>
            <w:hideMark/>
          </w:tcPr>
          <w:p w:rsidR="0075764B" w:rsidRPr="00A1583F" w:rsidRDefault="0075764B" w:rsidP="0075764B">
            <w:pPr>
              <w:spacing w:before="40" w:after="40" w:line="240" w:lineRule="auto"/>
              <w:jc w:val="right"/>
              <w:rPr>
                <w:rFonts w:asciiTheme="minorHAnsi" w:hAnsiTheme="minorHAnsi" w:cstheme="minorHAnsi"/>
                <w:sz w:val="18"/>
                <w:szCs w:val="18"/>
              </w:rPr>
            </w:pPr>
            <w:r w:rsidRPr="00A1583F">
              <w:rPr>
                <w:rFonts w:asciiTheme="minorHAnsi" w:hAnsiTheme="minorHAnsi" w:cstheme="minorHAnsi"/>
                <w:sz w:val="18"/>
                <w:szCs w:val="18"/>
              </w:rPr>
              <w:t>682</w:t>
            </w:r>
          </w:p>
        </w:tc>
        <w:tc>
          <w:tcPr>
            <w:tcW w:w="1091" w:type="dxa"/>
            <w:tcBorders>
              <w:top w:val="nil"/>
              <w:left w:val="nil"/>
              <w:bottom w:val="nil"/>
              <w:right w:val="single" w:sz="8" w:space="0" w:color="auto"/>
            </w:tcBorders>
            <w:shd w:val="clear" w:color="auto" w:fill="auto"/>
            <w:noWrap/>
            <w:vAlign w:val="center"/>
            <w:hideMark/>
          </w:tcPr>
          <w:p w:rsidR="0075764B" w:rsidRPr="00A1583F" w:rsidRDefault="0075764B" w:rsidP="0075764B">
            <w:pPr>
              <w:spacing w:before="40" w:after="40" w:line="240" w:lineRule="auto"/>
              <w:jc w:val="right"/>
              <w:rPr>
                <w:rFonts w:asciiTheme="minorHAnsi" w:hAnsiTheme="minorHAnsi" w:cstheme="minorHAnsi"/>
                <w:sz w:val="18"/>
                <w:szCs w:val="18"/>
              </w:rPr>
            </w:pPr>
            <w:r w:rsidRPr="00A1583F">
              <w:rPr>
                <w:rFonts w:asciiTheme="minorHAnsi" w:hAnsiTheme="minorHAnsi" w:cstheme="minorHAnsi"/>
                <w:sz w:val="18"/>
                <w:szCs w:val="18"/>
              </w:rPr>
              <w:t>57</w:t>
            </w:r>
          </w:p>
        </w:tc>
        <w:tc>
          <w:tcPr>
            <w:tcW w:w="925" w:type="dxa"/>
            <w:tcBorders>
              <w:top w:val="nil"/>
              <w:left w:val="nil"/>
              <w:bottom w:val="nil"/>
              <w:right w:val="nil"/>
            </w:tcBorders>
            <w:shd w:val="clear" w:color="auto" w:fill="auto"/>
            <w:noWrap/>
            <w:vAlign w:val="center"/>
            <w:hideMark/>
          </w:tcPr>
          <w:p w:rsidR="0075764B" w:rsidRPr="00A1583F" w:rsidRDefault="0075764B" w:rsidP="0075764B">
            <w:pPr>
              <w:spacing w:before="40" w:after="40" w:line="240" w:lineRule="auto"/>
              <w:jc w:val="right"/>
              <w:rPr>
                <w:rFonts w:asciiTheme="minorHAnsi" w:hAnsiTheme="minorHAnsi" w:cstheme="minorHAnsi"/>
                <w:sz w:val="18"/>
                <w:szCs w:val="18"/>
              </w:rPr>
            </w:pPr>
            <w:r w:rsidRPr="00A1583F">
              <w:rPr>
                <w:rFonts w:asciiTheme="minorHAnsi" w:hAnsiTheme="minorHAnsi" w:cstheme="minorHAnsi"/>
                <w:sz w:val="18"/>
                <w:szCs w:val="18"/>
              </w:rPr>
              <w:t>2,132</w:t>
            </w:r>
          </w:p>
        </w:tc>
        <w:tc>
          <w:tcPr>
            <w:tcW w:w="1293" w:type="dxa"/>
            <w:tcBorders>
              <w:top w:val="nil"/>
              <w:left w:val="nil"/>
              <w:bottom w:val="nil"/>
              <w:right w:val="single" w:sz="8" w:space="0" w:color="auto"/>
            </w:tcBorders>
            <w:shd w:val="clear" w:color="auto" w:fill="auto"/>
            <w:noWrap/>
            <w:vAlign w:val="center"/>
            <w:hideMark/>
          </w:tcPr>
          <w:p w:rsidR="0075764B" w:rsidRPr="00A1583F" w:rsidRDefault="0075764B" w:rsidP="0075764B">
            <w:pPr>
              <w:spacing w:before="40" w:after="40" w:line="240" w:lineRule="auto"/>
              <w:jc w:val="right"/>
              <w:rPr>
                <w:rFonts w:asciiTheme="minorHAnsi" w:hAnsiTheme="minorHAnsi" w:cstheme="minorHAnsi"/>
                <w:sz w:val="18"/>
                <w:szCs w:val="18"/>
              </w:rPr>
            </w:pPr>
            <w:r w:rsidRPr="00A1583F">
              <w:rPr>
                <w:rFonts w:asciiTheme="minorHAnsi" w:hAnsiTheme="minorHAnsi" w:cstheme="minorHAnsi"/>
                <w:sz w:val="18"/>
                <w:szCs w:val="18"/>
              </w:rPr>
              <w:t>178</w:t>
            </w:r>
          </w:p>
        </w:tc>
      </w:tr>
      <w:tr w:rsidR="0075764B" w:rsidRPr="00A1583F" w:rsidTr="00490847">
        <w:trPr>
          <w:trHeight w:val="271"/>
        </w:trPr>
        <w:tc>
          <w:tcPr>
            <w:tcW w:w="2344" w:type="dxa"/>
            <w:tcBorders>
              <w:top w:val="nil"/>
              <w:left w:val="single" w:sz="8" w:space="0" w:color="auto"/>
              <w:bottom w:val="nil"/>
              <w:right w:val="single" w:sz="8" w:space="0" w:color="auto"/>
            </w:tcBorders>
            <w:shd w:val="clear" w:color="auto" w:fill="auto"/>
            <w:noWrap/>
            <w:vAlign w:val="bottom"/>
            <w:hideMark/>
          </w:tcPr>
          <w:p w:rsidR="0075764B" w:rsidRPr="00A1583F" w:rsidRDefault="0075764B" w:rsidP="0075764B">
            <w:pPr>
              <w:spacing w:before="40" w:after="40" w:line="240" w:lineRule="auto"/>
              <w:rPr>
                <w:rFonts w:asciiTheme="minorHAnsi" w:hAnsiTheme="minorHAnsi" w:cstheme="minorHAnsi"/>
                <w:sz w:val="18"/>
                <w:szCs w:val="18"/>
                <w:lang w:val="en-US"/>
              </w:rPr>
            </w:pPr>
            <w:r w:rsidRPr="00A1583F">
              <w:rPr>
                <w:rFonts w:asciiTheme="minorHAnsi" w:hAnsiTheme="minorHAnsi" w:cstheme="minorHAnsi"/>
                <w:sz w:val="18"/>
                <w:szCs w:val="18"/>
                <w:lang w:val="en-US"/>
              </w:rPr>
              <w:t>Miscellaneous</w:t>
            </w:r>
          </w:p>
        </w:tc>
        <w:tc>
          <w:tcPr>
            <w:tcW w:w="1190" w:type="dxa"/>
            <w:tcBorders>
              <w:top w:val="nil"/>
              <w:left w:val="nil"/>
              <w:bottom w:val="nil"/>
              <w:right w:val="nil"/>
            </w:tcBorders>
            <w:shd w:val="clear" w:color="auto" w:fill="auto"/>
            <w:noWrap/>
            <w:vAlign w:val="center"/>
            <w:hideMark/>
          </w:tcPr>
          <w:p w:rsidR="0075764B" w:rsidRPr="00A1583F" w:rsidRDefault="0075764B" w:rsidP="0075764B">
            <w:pPr>
              <w:spacing w:before="40" w:after="40" w:line="240" w:lineRule="auto"/>
              <w:jc w:val="right"/>
              <w:rPr>
                <w:rFonts w:asciiTheme="minorHAnsi" w:hAnsiTheme="minorHAnsi" w:cstheme="minorHAnsi"/>
                <w:sz w:val="18"/>
                <w:szCs w:val="18"/>
              </w:rPr>
            </w:pPr>
            <w:r w:rsidRPr="00A1583F">
              <w:rPr>
                <w:rFonts w:asciiTheme="minorHAnsi" w:hAnsiTheme="minorHAnsi" w:cstheme="minorHAnsi"/>
                <w:sz w:val="18"/>
                <w:szCs w:val="18"/>
              </w:rPr>
              <w:t>1,608</w:t>
            </w:r>
          </w:p>
        </w:tc>
        <w:tc>
          <w:tcPr>
            <w:tcW w:w="1318" w:type="dxa"/>
            <w:tcBorders>
              <w:top w:val="nil"/>
              <w:left w:val="nil"/>
              <w:bottom w:val="nil"/>
              <w:right w:val="single" w:sz="8" w:space="0" w:color="auto"/>
            </w:tcBorders>
            <w:shd w:val="clear" w:color="auto" w:fill="auto"/>
            <w:noWrap/>
            <w:vAlign w:val="center"/>
            <w:hideMark/>
          </w:tcPr>
          <w:p w:rsidR="0075764B" w:rsidRPr="00A1583F" w:rsidRDefault="0075764B" w:rsidP="0075764B">
            <w:pPr>
              <w:spacing w:before="40" w:after="40" w:line="240" w:lineRule="auto"/>
              <w:jc w:val="right"/>
              <w:rPr>
                <w:rFonts w:asciiTheme="minorHAnsi" w:hAnsiTheme="minorHAnsi" w:cstheme="minorHAnsi"/>
                <w:sz w:val="18"/>
                <w:szCs w:val="18"/>
              </w:rPr>
            </w:pPr>
            <w:r w:rsidRPr="00A1583F">
              <w:rPr>
                <w:rFonts w:asciiTheme="minorHAnsi" w:hAnsiTheme="minorHAnsi" w:cstheme="minorHAnsi"/>
                <w:sz w:val="18"/>
                <w:szCs w:val="18"/>
              </w:rPr>
              <w:t>134</w:t>
            </w:r>
          </w:p>
        </w:tc>
        <w:tc>
          <w:tcPr>
            <w:tcW w:w="1128" w:type="dxa"/>
            <w:tcBorders>
              <w:top w:val="nil"/>
              <w:left w:val="nil"/>
              <w:bottom w:val="nil"/>
              <w:right w:val="nil"/>
            </w:tcBorders>
            <w:shd w:val="clear" w:color="auto" w:fill="auto"/>
            <w:noWrap/>
            <w:vAlign w:val="center"/>
            <w:hideMark/>
          </w:tcPr>
          <w:p w:rsidR="0075764B" w:rsidRPr="00A1583F" w:rsidRDefault="0075764B" w:rsidP="0075764B">
            <w:pPr>
              <w:spacing w:before="40" w:after="40" w:line="240" w:lineRule="auto"/>
              <w:jc w:val="right"/>
              <w:rPr>
                <w:rFonts w:asciiTheme="minorHAnsi" w:hAnsiTheme="minorHAnsi" w:cstheme="minorHAnsi"/>
                <w:sz w:val="18"/>
                <w:szCs w:val="18"/>
              </w:rPr>
            </w:pPr>
            <w:r w:rsidRPr="00A1583F">
              <w:rPr>
                <w:rFonts w:asciiTheme="minorHAnsi" w:hAnsiTheme="minorHAnsi" w:cstheme="minorHAnsi"/>
                <w:sz w:val="18"/>
                <w:szCs w:val="18"/>
              </w:rPr>
              <w:t>1,059</w:t>
            </w:r>
          </w:p>
        </w:tc>
        <w:tc>
          <w:tcPr>
            <w:tcW w:w="1091" w:type="dxa"/>
            <w:tcBorders>
              <w:top w:val="nil"/>
              <w:left w:val="nil"/>
              <w:bottom w:val="nil"/>
              <w:right w:val="single" w:sz="8" w:space="0" w:color="auto"/>
            </w:tcBorders>
            <w:shd w:val="clear" w:color="auto" w:fill="auto"/>
            <w:noWrap/>
            <w:vAlign w:val="center"/>
            <w:hideMark/>
          </w:tcPr>
          <w:p w:rsidR="0075764B" w:rsidRPr="00A1583F" w:rsidRDefault="0075764B" w:rsidP="0075764B">
            <w:pPr>
              <w:spacing w:before="40" w:after="40" w:line="240" w:lineRule="auto"/>
              <w:jc w:val="right"/>
              <w:rPr>
                <w:rFonts w:asciiTheme="minorHAnsi" w:hAnsiTheme="minorHAnsi" w:cstheme="minorHAnsi"/>
                <w:sz w:val="18"/>
                <w:szCs w:val="18"/>
              </w:rPr>
            </w:pPr>
            <w:r w:rsidRPr="00A1583F">
              <w:rPr>
                <w:rFonts w:asciiTheme="minorHAnsi" w:hAnsiTheme="minorHAnsi" w:cstheme="minorHAnsi"/>
                <w:sz w:val="18"/>
                <w:szCs w:val="18"/>
              </w:rPr>
              <w:t>88</w:t>
            </w:r>
          </w:p>
        </w:tc>
        <w:tc>
          <w:tcPr>
            <w:tcW w:w="925" w:type="dxa"/>
            <w:tcBorders>
              <w:top w:val="nil"/>
              <w:left w:val="nil"/>
              <w:bottom w:val="nil"/>
              <w:right w:val="nil"/>
            </w:tcBorders>
            <w:shd w:val="clear" w:color="auto" w:fill="auto"/>
            <w:noWrap/>
            <w:vAlign w:val="center"/>
            <w:hideMark/>
          </w:tcPr>
          <w:p w:rsidR="0075764B" w:rsidRPr="00A1583F" w:rsidRDefault="0075764B" w:rsidP="0075764B">
            <w:pPr>
              <w:spacing w:before="40" w:after="40" w:line="240" w:lineRule="auto"/>
              <w:jc w:val="right"/>
              <w:rPr>
                <w:rFonts w:asciiTheme="minorHAnsi" w:hAnsiTheme="minorHAnsi" w:cstheme="minorHAnsi"/>
                <w:sz w:val="18"/>
                <w:szCs w:val="18"/>
              </w:rPr>
            </w:pPr>
            <w:r w:rsidRPr="00A1583F">
              <w:rPr>
                <w:rFonts w:asciiTheme="minorHAnsi" w:hAnsiTheme="minorHAnsi" w:cstheme="minorHAnsi"/>
                <w:sz w:val="18"/>
                <w:szCs w:val="18"/>
              </w:rPr>
              <w:t>2,667</w:t>
            </w:r>
          </w:p>
        </w:tc>
        <w:tc>
          <w:tcPr>
            <w:tcW w:w="1293" w:type="dxa"/>
            <w:tcBorders>
              <w:top w:val="nil"/>
              <w:left w:val="nil"/>
              <w:bottom w:val="nil"/>
              <w:right w:val="single" w:sz="8" w:space="0" w:color="auto"/>
            </w:tcBorders>
            <w:shd w:val="clear" w:color="auto" w:fill="auto"/>
            <w:noWrap/>
            <w:vAlign w:val="center"/>
            <w:hideMark/>
          </w:tcPr>
          <w:p w:rsidR="0075764B" w:rsidRPr="00A1583F" w:rsidRDefault="0075764B" w:rsidP="0075764B">
            <w:pPr>
              <w:spacing w:before="40" w:after="40" w:line="240" w:lineRule="auto"/>
              <w:jc w:val="right"/>
              <w:rPr>
                <w:rFonts w:asciiTheme="minorHAnsi" w:hAnsiTheme="minorHAnsi" w:cstheme="minorHAnsi"/>
                <w:sz w:val="18"/>
                <w:szCs w:val="18"/>
              </w:rPr>
            </w:pPr>
            <w:r w:rsidRPr="00A1583F">
              <w:rPr>
                <w:rFonts w:asciiTheme="minorHAnsi" w:hAnsiTheme="minorHAnsi" w:cstheme="minorHAnsi"/>
                <w:sz w:val="18"/>
                <w:szCs w:val="18"/>
              </w:rPr>
              <w:t>222</w:t>
            </w:r>
          </w:p>
        </w:tc>
      </w:tr>
      <w:tr w:rsidR="0075764B" w:rsidRPr="00A1583F" w:rsidTr="00490847">
        <w:trPr>
          <w:trHeight w:val="271"/>
        </w:trPr>
        <w:tc>
          <w:tcPr>
            <w:tcW w:w="2344" w:type="dxa"/>
            <w:tcBorders>
              <w:top w:val="nil"/>
              <w:left w:val="single" w:sz="8" w:space="0" w:color="auto"/>
              <w:bottom w:val="nil"/>
              <w:right w:val="single" w:sz="8" w:space="0" w:color="auto"/>
            </w:tcBorders>
            <w:shd w:val="clear" w:color="auto" w:fill="auto"/>
            <w:vAlign w:val="bottom"/>
            <w:hideMark/>
          </w:tcPr>
          <w:p w:rsidR="0075764B" w:rsidRPr="00A1583F" w:rsidRDefault="00AE7E6E" w:rsidP="0075764B">
            <w:pPr>
              <w:spacing w:before="40" w:after="40" w:line="240" w:lineRule="auto"/>
              <w:rPr>
                <w:rFonts w:asciiTheme="minorHAnsi" w:hAnsiTheme="minorHAnsi" w:cstheme="minorHAnsi"/>
                <w:sz w:val="18"/>
                <w:szCs w:val="18"/>
                <w:lang w:val="en-US"/>
              </w:rPr>
            </w:pPr>
            <w:r>
              <w:rPr>
                <w:rFonts w:asciiTheme="minorHAnsi" w:hAnsiTheme="minorHAnsi" w:cstheme="minorHAnsi"/>
                <w:sz w:val="18"/>
                <w:szCs w:val="18"/>
                <w:lang w:val="en-US"/>
              </w:rPr>
              <w:t>N</w:t>
            </w:r>
            <w:r w:rsidR="0075764B" w:rsidRPr="00A1583F">
              <w:rPr>
                <w:rFonts w:asciiTheme="minorHAnsi" w:hAnsiTheme="minorHAnsi" w:cstheme="minorHAnsi"/>
                <w:sz w:val="18"/>
                <w:szCs w:val="18"/>
                <w:lang w:val="en-US"/>
              </w:rPr>
              <w:t>on-consumption</w:t>
            </w:r>
          </w:p>
        </w:tc>
        <w:tc>
          <w:tcPr>
            <w:tcW w:w="1190" w:type="dxa"/>
            <w:tcBorders>
              <w:top w:val="nil"/>
              <w:left w:val="nil"/>
              <w:bottom w:val="nil"/>
              <w:right w:val="nil"/>
            </w:tcBorders>
            <w:shd w:val="clear" w:color="auto" w:fill="auto"/>
            <w:noWrap/>
            <w:vAlign w:val="center"/>
            <w:hideMark/>
          </w:tcPr>
          <w:p w:rsidR="0075764B" w:rsidRPr="00A1583F" w:rsidRDefault="0075764B" w:rsidP="0075764B">
            <w:pPr>
              <w:spacing w:before="40" w:after="40" w:line="240" w:lineRule="auto"/>
              <w:jc w:val="right"/>
              <w:rPr>
                <w:rFonts w:asciiTheme="minorHAnsi" w:hAnsiTheme="minorHAnsi" w:cstheme="minorHAnsi"/>
                <w:sz w:val="18"/>
                <w:szCs w:val="18"/>
              </w:rPr>
            </w:pPr>
            <w:r w:rsidRPr="00A1583F">
              <w:rPr>
                <w:rFonts w:asciiTheme="minorHAnsi" w:hAnsiTheme="minorHAnsi" w:cstheme="minorHAnsi"/>
                <w:sz w:val="18"/>
                <w:szCs w:val="18"/>
              </w:rPr>
              <w:t>2,180</w:t>
            </w:r>
          </w:p>
        </w:tc>
        <w:tc>
          <w:tcPr>
            <w:tcW w:w="1318" w:type="dxa"/>
            <w:tcBorders>
              <w:top w:val="nil"/>
              <w:left w:val="nil"/>
              <w:bottom w:val="nil"/>
              <w:right w:val="single" w:sz="8" w:space="0" w:color="auto"/>
            </w:tcBorders>
            <w:shd w:val="clear" w:color="auto" w:fill="auto"/>
            <w:noWrap/>
            <w:vAlign w:val="center"/>
            <w:hideMark/>
          </w:tcPr>
          <w:p w:rsidR="0075764B" w:rsidRPr="00A1583F" w:rsidRDefault="0075764B" w:rsidP="0075764B">
            <w:pPr>
              <w:spacing w:before="40" w:after="40" w:line="240" w:lineRule="auto"/>
              <w:jc w:val="right"/>
              <w:rPr>
                <w:rFonts w:asciiTheme="minorHAnsi" w:hAnsiTheme="minorHAnsi" w:cstheme="minorHAnsi"/>
                <w:sz w:val="18"/>
                <w:szCs w:val="18"/>
              </w:rPr>
            </w:pPr>
            <w:r w:rsidRPr="00A1583F">
              <w:rPr>
                <w:rFonts w:asciiTheme="minorHAnsi" w:hAnsiTheme="minorHAnsi" w:cstheme="minorHAnsi"/>
                <w:sz w:val="18"/>
                <w:szCs w:val="18"/>
              </w:rPr>
              <w:t>182</w:t>
            </w:r>
          </w:p>
        </w:tc>
        <w:tc>
          <w:tcPr>
            <w:tcW w:w="1128" w:type="dxa"/>
            <w:tcBorders>
              <w:top w:val="nil"/>
              <w:left w:val="nil"/>
              <w:bottom w:val="nil"/>
              <w:right w:val="nil"/>
            </w:tcBorders>
            <w:shd w:val="clear" w:color="auto" w:fill="auto"/>
            <w:noWrap/>
            <w:vAlign w:val="center"/>
            <w:hideMark/>
          </w:tcPr>
          <w:p w:rsidR="0075764B" w:rsidRPr="00A1583F" w:rsidRDefault="0075764B" w:rsidP="0075764B">
            <w:pPr>
              <w:spacing w:before="40" w:after="40" w:line="240" w:lineRule="auto"/>
              <w:jc w:val="right"/>
              <w:rPr>
                <w:rFonts w:asciiTheme="minorHAnsi" w:hAnsiTheme="minorHAnsi" w:cstheme="minorHAnsi"/>
                <w:sz w:val="18"/>
                <w:szCs w:val="18"/>
              </w:rPr>
            </w:pPr>
            <w:r w:rsidRPr="00A1583F">
              <w:rPr>
                <w:rFonts w:asciiTheme="minorHAnsi" w:hAnsiTheme="minorHAnsi" w:cstheme="minorHAnsi"/>
                <w:sz w:val="18"/>
                <w:szCs w:val="18"/>
              </w:rPr>
              <w:t>816</w:t>
            </w:r>
          </w:p>
        </w:tc>
        <w:tc>
          <w:tcPr>
            <w:tcW w:w="1091" w:type="dxa"/>
            <w:tcBorders>
              <w:top w:val="nil"/>
              <w:left w:val="nil"/>
              <w:bottom w:val="nil"/>
              <w:right w:val="single" w:sz="8" w:space="0" w:color="auto"/>
            </w:tcBorders>
            <w:shd w:val="clear" w:color="auto" w:fill="auto"/>
            <w:noWrap/>
            <w:vAlign w:val="center"/>
            <w:hideMark/>
          </w:tcPr>
          <w:p w:rsidR="0075764B" w:rsidRPr="00A1583F" w:rsidRDefault="0075764B" w:rsidP="0075764B">
            <w:pPr>
              <w:spacing w:before="40" w:after="40" w:line="240" w:lineRule="auto"/>
              <w:jc w:val="right"/>
              <w:rPr>
                <w:rFonts w:asciiTheme="minorHAnsi" w:hAnsiTheme="minorHAnsi" w:cstheme="minorHAnsi"/>
                <w:sz w:val="18"/>
                <w:szCs w:val="18"/>
              </w:rPr>
            </w:pPr>
            <w:r w:rsidRPr="00A1583F">
              <w:rPr>
                <w:rFonts w:asciiTheme="minorHAnsi" w:hAnsiTheme="minorHAnsi" w:cstheme="minorHAnsi"/>
                <w:sz w:val="18"/>
                <w:szCs w:val="18"/>
              </w:rPr>
              <w:t>68</w:t>
            </w:r>
          </w:p>
        </w:tc>
        <w:tc>
          <w:tcPr>
            <w:tcW w:w="925" w:type="dxa"/>
            <w:tcBorders>
              <w:top w:val="nil"/>
              <w:left w:val="nil"/>
              <w:bottom w:val="nil"/>
              <w:right w:val="nil"/>
            </w:tcBorders>
            <w:shd w:val="clear" w:color="auto" w:fill="auto"/>
            <w:noWrap/>
            <w:vAlign w:val="center"/>
            <w:hideMark/>
          </w:tcPr>
          <w:p w:rsidR="0075764B" w:rsidRPr="00A1583F" w:rsidRDefault="0075764B" w:rsidP="0075764B">
            <w:pPr>
              <w:spacing w:before="40" w:after="40" w:line="240" w:lineRule="auto"/>
              <w:jc w:val="right"/>
              <w:rPr>
                <w:rFonts w:asciiTheme="minorHAnsi" w:hAnsiTheme="minorHAnsi" w:cstheme="minorHAnsi"/>
                <w:sz w:val="18"/>
                <w:szCs w:val="18"/>
              </w:rPr>
            </w:pPr>
            <w:r w:rsidRPr="00A1583F">
              <w:rPr>
                <w:rFonts w:asciiTheme="minorHAnsi" w:hAnsiTheme="minorHAnsi" w:cstheme="minorHAnsi"/>
                <w:sz w:val="18"/>
                <w:szCs w:val="18"/>
              </w:rPr>
              <w:t>2,996</w:t>
            </w:r>
          </w:p>
        </w:tc>
        <w:tc>
          <w:tcPr>
            <w:tcW w:w="1293" w:type="dxa"/>
            <w:tcBorders>
              <w:top w:val="nil"/>
              <w:left w:val="nil"/>
              <w:bottom w:val="nil"/>
              <w:right w:val="single" w:sz="8" w:space="0" w:color="auto"/>
            </w:tcBorders>
            <w:shd w:val="clear" w:color="auto" w:fill="auto"/>
            <w:noWrap/>
            <w:vAlign w:val="center"/>
            <w:hideMark/>
          </w:tcPr>
          <w:p w:rsidR="0075764B" w:rsidRPr="00A1583F" w:rsidRDefault="0075764B" w:rsidP="0075764B">
            <w:pPr>
              <w:spacing w:before="40" w:after="40" w:line="240" w:lineRule="auto"/>
              <w:jc w:val="right"/>
              <w:rPr>
                <w:rFonts w:asciiTheme="minorHAnsi" w:hAnsiTheme="minorHAnsi" w:cstheme="minorHAnsi"/>
                <w:sz w:val="18"/>
                <w:szCs w:val="18"/>
              </w:rPr>
            </w:pPr>
            <w:r w:rsidRPr="00A1583F">
              <w:rPr>
                <w:rFonts w:asciiTheme="minorHAnsi" w:hAnsiTheme="minorHAnsi" w:cstheme="minorHAnsi"/>
                <w:sz w:val="18"/>
                <w:szCs w:val="18"/>
              </w:rPr>
              <w:t>250</w:t>
            </w:r>
          </w:p>
        </w:tc>
      </w:tr>
      <w:tr w:rsidR="0075764B" w:rsidRPr="00A1583F" w:rsidTr="00490847">
        <w:trPr>
          <w:trHeight w:val="271"/>
        </w:trPr>
        <w:tc>
          <w:tcPr>
            <w:tcW w:w="2344" w:type="dxa"/>
            <w:tcBorders>
              <w:top w:val="nil"/>
              <w:left w:val="single" w:sz="8" w:space="0" w:color="auto"/>
              <w:bottom w:val="single" w:sz="8" w:space="0" w:color="auto"/>
              <w:right w:val="single" w:sz="8" w:space="0" w:color="auto"/>
            </w:tcBorders>
            <w:shd w:val="clear" w:color="auto" w:fill="auto"/>
            <w:noWrap/>
            <w:vAlign w:val="bottom"/>
            <w:hideMark/>
          </w:tcPr>
          <w:p w:rsidR="0075764B" w:rsidRPr="00A1583F" w:rsidRDefault="0075764B" w:rsidP="0075764B">
            <w:pPr>
              <w:spacing w:before="40" w:after="40" w:line="240" w:lineRule="auto"/>
              <w:rPr>
                <w:rFonts w:asciiTheme="minorHAnsi" w:hAnsiTheme="minorHAnsi" w:cstheme="minorHAnsi"/>
                <w:sz w:val="18"/>
                <w:szCs w:val="18"/>
                <w:lang w:val="en-US"/>
              </w:rPr>
            </w:pPr>
            <w:r w:rsidRPr="00A1583F">
              <w:rPr>
                <w:rFonts w:asciiTheme="minorHAnsi" w:hAnsiTheme="minorHAnsi" w:cstheme="minorHAnsi"/>
                <w:sz w:val="18"/>
                <w:szCs w:val="18"/>
                <w:lang w:val="en-US"/>
              </w:rPr>
              <w:t>Gifts received</w:t>
            </w:r>
          </w:p>
        </w:tc>
        <w:tc>
          <w:tcPr>
            <w:tcW w:w="1190" w:type="dxa"/>
            <w:tcBorders>
              <w:top w:val="nil"/>
              <w:left w:val="nil"/>
              <w:bottom w:val="single" w:sz="8" w:space="0" w:color="auto"/>
              <w:right w:val="nil"/>
            </w:tcBorders>
            <w:shd w:val="clear" w:color="auto" w:fill="auto"/>
            <w:noWrap/>
            <w:vAlign w:val="center"/>
            <w:hideMark/>
          </w:tcPr>
          <w:p w:rsidR="0075764B" w:rsidRPr="00A1583F" w:rsidRDefault="0075764B" w:rsidP="0075764B">
            <w:pPr>
              <w:spacing w:before="40" w:after="40" w:line="240" w:lineRule="auto"/>
              <w:jc w:val="right"/>
              <w:rPr>
                <w:rFonts w:asciiTheme="minorHAnsi" w:hAnsiTheme="minorHAnsi" w:cstheme="minorHAnsi"/>
                <w:sz w:val="18"/>
                <w:szCs w:val="18"/>
              </w:rPr>
            </w:pPr>
            <w:r w:rsidRPr="00A1583F">
              <w:rPr>
                <w:rFonts w:asciiTheme="minorHAnsi" w:hAnsiTheme="minorHAnsi" w:cstheme="minorHAnsi"/>
                <w:sz w:val="18"/>
                <w:szCs w:val="18"/>
              </w:rPr>
              <w:t>353</w:t>
            </w:r>
          </w:p>
        </w:tc>
        <w:tc>
          <w:tcPr>
            <w:tcW w:w="1318" w:type="dxa"/>
            <w:tcBorders>
              <w:top w:val="nil"/>
              <w:left w:val="nil"/>
              <w:bottom w:val="single" w:sz="8" w:space="0" w:color="auto"/>
              <w:right w:val="single" w:sz="8" w:space="0" w:color="auto"/>
            </w:tcBorders>
            <w:shd w:val="clear" w:color="auto" w:fill="auto"/>
            <w:noWrap/>
            <w:vAlign w:val="center"/>
            <w:hideMark/>
          </w:tcPr>
          <w:p w:rsidR="0075764B" w:rsidRPr="00A1583F" w:rsidRDefault="0075764B" w:rsidP="0075764B">
            <w:pPr>
              <w:spacing w:before="40" w:after="40" w:line="240" w:lineRule="auto"/>
              <w:jc w:val="right"/>
              <w:rPr>
                <w:rFonts w:asciiTheme="minorHAnsi" w:hAnsiTheme="minorHAnsi" w:cstheme="minorHAnsi"/>
                <w:sz w:val="18"/>
                <w:szCs w:val="18"/>
              </w:rPr>
            </w:pPr>
            <w:r w:rsidRPr="00A1583F">
              <w:rPr>
                <w:rFonts w:asciiTheme="minorHAnsi" w:hAnsiTheme="minorHAnsi" w:cstheme="minorHAnsi"/>
                <w:sz w:val="18"/>
                <w:szCs w:val="18"/>
              </w:rPr>
              <w:t>29</w:t>
            </w:r>
          </w:p>
        </w:tc>
        <w:tc>
          <w:tcPr>
            <w:tcW w:w="1128" w:type="dxa"/>
            <w:tcBorders>
              <w:top w:val="nil"/>
              <w:left w:val="nil"/>
              <w:bottom w:val="single" w:sz="8" w:space="0" w:color="auto"/>
              <w:right w:val="nil"/>
            </w:tcBorders>
            <w:shd w:val="clear" w:color="auto" w:fill="auto"/>
            <w:noWrap/>
            <w:vAlign w:val="center"/>
            <w:hideMark/>
          </w:tcPr>
          <w:p w:rsidR="0075764B" w:rsidRPr="00A1583F" w:rsidRDefault="0075764B" w:rsidP="0075764B">
            <w:pPr>
              <w:spacing w:before="40" w:after="40" w:line="240" w:lineRule="auto"/>
              <w:jc w:val="right"/>
              <w:rPr>
                <w:rFonts w:asciiTheme="minorHAnsi" w:hAnsiTheme="minorHAnsi" w:cstheme="minorHAnsi"/>
                <w:sz w:val="18"/>
                <w:szCs w:val="18"/>
              </w:rPr>
            </w:pPr>
            <w:r w:rsidRPr="00A1583F">
              <w:rPr>
                <w:rFonts w:asciiTheme="minorHAnsi" w:hAnsiTheme="minorHAnsi" w:cstheme="minorHAnsi"/>
                <w:sz w:val="18"/>
                <w:szCs w:val="18"/>
              </w:rPr>
              <w:t>135</w:t>
            </w:r>
          </w:p>
        </w:tc>
        <w:tc>
          <w:tcPr>
            <w:tcW w:w="1091" w:type="dxa"/>
            <w:tcBorders>
              <w:top w:val="nil"/>
              <w:left w:val="nil"/>
              <w:bottom w:val="single" w:sz="8" w:space="0" w:color="auto"/>
              <w:right w:val="single" w:sz="8" w:space="0" w:color="auto"/>
            </w:tcBorders>
            <w:shd w:val="clear" w:color="auto" w:fill="auto"/>
            <w:noWrap/>
            <w:vAlign w:val="center"/>
            <w:hideMark/>
          </w:tcPr>
          <w:p w:rsidR="0075764B" w:rsidRPr="00A1583F" w:rsidRDefault="0075764B" w:rsidP="0075764B">
            <w:pPr>
              <w:spacing w:before="40" w:after="40" w:line="240" w:lineRule="auto"/>
              <w:jc w:val="right"/>
              <w:rPr>
                <w:rFonts w:asciiTheme="minorHAnsi" w:hAnsiTheme="minorHAnsi" w:cstheme="minorHAnsi"/>
                <w:sz w:val="18"/>
                <w:szCs w:val="18"/>
              </w:rPr>
            </w:pPr>
            <w:r w:rsidRPr="00A1583F">
              <w:rPr>
                <w:rFonts w:asciiTheme="minorHAnsi" w:hAnsiTheme="minorHAnsi" w:cstheme="minorHAnsi"/>
                <w:sz w:val="18"/>
                <w:szCs w:val="18"/>
              </w:rPr>
              <w:t>11</w:t>
            </w:r>
          </w:p>
        </w:tc>
        <w:tc>
          <w:tcPr>
            <w:tcW w:w="925" w:type="dxa"/>
            <w:tcBorders>
              <w:top w:val="nil"/>
              <w:left w:val="nil"/>
              <w:bottom w:val="single" w:sz="8" w:space="0" w:color="auto"/>
              <w:right w:val="nil"/>
            </w:tcBorders>
            <w:shd w:val="clear" w:color="auto" w:fill="auto"/>
            <w:noWrap/>
            <w:vAlign w:val="center"/>
            <w:hideMark/>
          </w:tcPr>
          <w:p w:rsidR="0075764B" w:rsidRPr="00A1583F" w:rsidRDefault="0075764B" w:rsidP="0075764B">
            <w:pPr>
              <w:spacing w:before="40" w:after="40" w:line="240" w:lineRule="auto"/>
              <w:jc w:val="right"/>
              <w:rPr>
                <w:rFonts w:asciiTheme="minorHAnsi" w:hAnsiTheme="minorHAnsi" w:cstheme="minorHAnsi"/>
                <w:sz w:val="18"/>
                <w:szCs w:val="18"/>
              </w:rPr>
            </w:pPr>
            <w:r w:rsidRPr="00A1583F">
              <w:rPr>
                <w:rFonts w:asciiTheme="minorHAnsi" w:hAnsiTheme="minorHAnsi" w:cstheme="minorHAnsi"/>
                <w:sz w:val="18"/>
                <w:szCs w:val="18"/>
              </w:rPr>
              <w:t>487</w:t>
            </w:r>
          </w:p>
        </w:tc>
        <w:tc>
          <w:tcPr>
            <w:tcW w:w="1293" w:type="dxa"/>
            <w:tcBorders>
              <w:top w:val="nil"/>
              <w:left w:val="nil"/>
              <w:bottom w:val="single" w:sz="8" w:space="0" w:color="auto"/>
              <w:right w:val="single" w:sz="8" w:space="0" w:color="auto"/>
            </w:tcBorders>
            <w:shd w:val="clear" w:color="auto" w:fill="auto"/>
            <w:noWrap/>
            <w:vAlign w:val="center"/>
            <w:hideMark/>
          </w:tcPr>
          <w:p w:rsidR="0075764B" w:rsidRPr="00A1583F" w:rsidRDefault="0075764B" w:rsidP="0075764B">
            <w:pPr>
              <w:spacing w:before="40" w:after="40" w:line="240" w:lineRule="auto"/>
              <w:jc w:val="right"/>
              <w:rPr>
                <w:rFonts w:asciiTheme="minorHAnsi" w:hAnsiTheme="minorHAnsi" w:cstheme="minorHAnsi"/>
                <w:sz w:val="18"/>
                <w:szCs w:val="18"/>
              </w:rPr>
            </w:pPr>
            <w:r w:rsidRPr="00A1583F">
              <w:rPr>
                <w:rFonts w:asciiTheme="minorHAnsi" w:hAnsiTheme="minorHAnsi" w:cstheme="minorHAnsi"/>
                <w:sz w:val="18"/>
                <w:szCs w:val="18"/>
              </w:rPr>
              <w:t>41</w:t>
            </w:r>
          </w:p>
        </w:tc>
      </w:tr>
      <w:tr w:rsidR="0075764B" w:rsidRPr="00A1583F" w:rsidTr="00490847">
        <w:trPr>
          <w:trHeight w:val="271"/>
        </w:trPr>
        <w:tc>
          <w:tcPr>
            <w:tcW w:w="2344"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75764B" w:rsidRPr="00A1583F" w:rsidRDefault="0075764B" w:rsidP="0075764B">
            <w:pPr>
              <w:spacing w:before="40" w:after="40" w:line="240" w:lineRule="auto"/>
              <w:rPr>
                <w:rFonts w:asciiTheme="minorHAnsi" w:hAnsiTheme="minorHAnsi" w:cstheme="minorHAnsi"/>
                <w:b/>
                <w:sz w:val="18"/>
                <w:szCs w:val="18"/>
                <w:lang w:val="en-US"/>
              </w:rPr>
            </w:pPr>
            <w:r w:rsidRPr="00A1583F">
              <w:rPr>
                <w:rFonts w:asciiTheme="minorHAnsi" w:hAnsiTheme="minorHAnsi" w:cstheme="minorHAnsi"/>
                <w:b/>
                <w:sz w:val="18"/>
                <w:szCs w:val="18"/>
                <w:lang w:val="en-US"/>
              </w:rPr>
              <w:t>Total (million vatu)</w:t>
            </w:r>
          </w:p>
        </w:tc>
        <w:tc>
          <w:tcPr>
            <w:tcW w:w="1190" w:type="dxa"/>
            <w:tcBorders>
              <w:top w:val="single" w:sz="8" w:space="0" w:color="auto"/>
              <w:left w:val="nil"/>
              <w:bottom w:val="single" w:sz="8" w:space="0" w:color="auto"/>
              <w:right w:val="nil"/>
            </w:tcBorders>
            <w:shd w:val="clear" w:color="auto" w:fill="auto"/>
            <w:noWrap/>
            <w:vAlign w:val="center"/>
            <w:hideMark/>
          </w:tcPr>
          <w:p w:rsidR="0075764B" w:rsidRPr="00A1583F" w:rsidRDefault="0075764B" w:rsidP="0075764B">
            <w:pPr>
              <w:spacing w:before="40" w:after="40" w:line="240" w:lineRule="auto"/>
              <w:jc w:val="right"/>
              <w:rPr>
                <w:rFonts w:asciiTheme="minorHAnsi" w:hAnsiTheme="minorHAnsi" w:cstheme="minorHAnsi"/>
                <w:b/>
                <w:sz w:val="18"/>
                <w:szCs w:val="18"/>
              </w:rPr>
            </w:pPr>
            <w:r w:rsidRPr="00A1583F">
              <w:rPr>
                <w:rFonts w:asciiTheme="minorHAnsi" w:hAnsiTheme="minorHAnsi" w:cstheme="minorHAnsi"/>
                <w:b/>
                <w:sz w:val="18"/>
                <w:szCs w:val="18"/>
              </w:rPr>
              <w:t>31,812</w:t>
            </w:r>
          </w:p>
        </w:tc>
        <w:tc>
          <w:tcPr>
            <w:tcW w:w="1318" w:type="dxa"/>
            <w:tcBorders>
              <w:top w:val="single" w:sz="8" w:space="0" w:color="auto"/>
              <w:left w:val="nil"/>
              <w:bottom w:val="single" w:sz="8" w:space="0" w:color="auto"/>
              <w:right w:val="single" w:sz="8" w:space="0" w:color="auto"/>
            </w:tcBorders>
            <w:shd w:val="clear" w:color="auto" w:fill="auto"/>
            <w:noWrap/>
            <w:vAlign w:val="center"/>
            <w:hideMark/>
          </w:tcPr>
          <w:p w:rsidR="0075764B" w:rsidRPr="00A1583F" w:rsidRDefault="0075764B" w:rsidP="0075764B">
            <w:pPr>
              <w:spacing w:before="40" w:after="40" w:line="240" w:lineRule="auto"/>
              <w:jc w:val="right"/>
              <w:rPr>
                <w:rFonts w:asciiTheme="minorHAnsi" w:hAnsiTheme="minorHAnsi" w:cstheme="minorHAnsi"/>
                <w:b/>
                <w:sz w:val="18"/>
                <w:szCs w:val="18"/>
              </w:rPr>
            </w:pPr>
            <w:r w:rsidRPr="00A1583F">
              <w:rPr>
                <w:rFonts w:asciiTheme="minorHAnsi" w:hAnsiTheme="minorHAnsi" w:cstheme="minorHAnsi"/>
                <w:b/>
                <w:sz w:val="18"/>
                <w:szCs w:val="18"/>
              </w:rPr>
              <w:t>2,651</w:t>
            </w:r>
          </w:p>
        </w:tc>
        <w:tc>
          <w:tcPr>
            <w:tcW w:w="1128" w:type="dxa"/>
            <w:tcBorders>
              <w:top w:val="single" w:sz="8" w:space="0" w:color="auto"/>
              <w:left w:val="nil"/>
              <w:bottom w:val="single" w:sz="8" w:space="0" w:color="auto"/>
              <w:right w:val="nil"/>
            </w:tcBorders>
            <w:shd w:val="clear" w:color="auto" w:fill="auto"/>
            <w:noWrap/>
            <w:vAlign w:val="center"/>
            <w:hideMark/>
          </w:tcPr>
          <w:p w:rsidR="0075764B" w:rsidRPr="00A1583F" w:rsidRDefault="0075764B" w:rsidP="0075764B">
            <w:pPr>
              <w:spacing w:before="40" w:after="40" w:line="240" w:lineRule="auto"/>
              <w:jc w:val="right"/>
              <w:rPr>
                <w:rFonts w:asciiTheme="minorHAnsi" w:hAnsiTheme="minorHAnsi" w:cstheme="minorHAnsi"/>
                <w:b/>
                <w:sz w:val="18"/>
                <w:szCs w:val="18"/>
              </w:rPr>
            </w:pPr>
            <w:r w:rsidRPr="00A1583F">
              <w:rPr>
                <w:rFonts w:asciiTheme="minorHAnsi" w:hAnsiTheme="minorHAnsi" w:cstheme="minorHAnsi"/>
                <w:b/>
                <w:sz w:val="18"/>
                <w:szCs w:val="18"/>
              </w:rPr>
              <w:t>14,558</w:t>
            </w:r>
          </w:p>
        </w:tc>
        <w:tc>
          <w:tcPr>
            <w:tcW w:w="1091" w:type="dxa"/>
            <w:tcBorders>
              <w:top w:val="single" w:sz="8" w:space="0" w:color="auto"/>
              <w:left w:val="nil"/>
              <w:bottom w:val="single" w:sz="8" w:space="0" w:color="auto"/>
              <w:right w:val="single" w:sz="8" w:space="0" w:color="auto"/>
            </w:tcBorders>
            <w:shd w:val="clear" w:color="auto" w:fill="auto"/>
            <w:noWrap/>
            <w:vAlign w:val="center"/>
            <w:hideMark/>
          </w:tcPr>
          <w:p w:rsidR="0075764B" w:rsidRPr="00A1583F" w:rsidRDefault="0075764B" w:rsidP="0075764B">
            <w:pPr>
              <w:spacing w:before="40" w:after="40" w:line="240" w:lineRule="auto"/>
              <w:jc w:val="right"/>
              <w:rPr>
                <w:rFonts w:asciiTheme="minorHAnsi" w:hAnsiTheme="minorHAnsi" w:cstheme="minorHAnsi"/>
                <w:b/>
                <w:sz w:val="18"/>
                <w:szCs w:val="18"/>
              </w:rPr>
            </w:pPr>
            <w:r w:rsidRPr="00A1583F">
              <w:rPr>
                <w:rFonts w:asciiTheme="minorHAnsi" w:hAnsiTheme="minorHAnsi" w:cstheme="minorHAnsi"/>
                <w:b/>
                <w:sz w:val="18"/>
                <w:szCs w:val="18"/>
              </w:rPr>
              <w:t>1,213</w:t>
            </w:r>
          </w:p>
        </w:tc>
        <w:tc>
          <w:tcPr>
            <w:tcW w:w="925" w:type="dxa"/>
            <w:tcBorders>
              <w:top w:val="single" w:sz="8" w:space="0" w:color="auto"/>
              <w:left w:val="nil"/>
              <w:bottom w:val="single" w:sz="8" w:space="0" w:color="auto"/>
              <w:right w:val="nil"/>
            </w:tcBorders>
            <w:shd w:val="clear" w:color="auto" w:fill="auto"/>
            <w:noWrap/>
            <w:vAlign w:val="center"/>
            <w:hideMark/>
          </w:tcPr>
          <w:p w:rsidR="0075764B" w:rsidRPr="00A1583F" w:rsidRDefault="0075764B" w:rsidP="0075764B">
            <w:pPr>
              <w:spacing w:before="40" w:after="40" w:line="240" w:lineRule="auto"/>
              <w:jc w:val="right"/>
              <w:rPr>
                <w:rFonts w:asciiTheme="minorHAnsi" w:hAnsiTheme="minorHAnsi" w:cstheme="minorHAnsi"/>
                <w:b/>
                <w:sz w:val="18"/>
                <w:szCs w:val="18"/>
              </w:rPr>
            </w:pPr>
            <w:r w:rsidRPr="00A1583F">
              <w:rPr>
                <w:rFonts w:asciiTheme="minorHAnsi" w:hAnsiTheme="minorHAnsi" w:cstheme="minorHAnsi"/>
                <w:b/>
                <w:sz w:val="18"/>
                <w:szCs w:val="18"/>
              </w:rPr>
              <w:t>46,369</w:t>
            </w:r>
          </w:p>
        </w:tc>
        <w:tc>
          <w:tcPr>
            <w:tcW w:w="1293" w:type="dxa"/>
            <w:tcBorders>
              <w:top w:val="single" w:sz="8" w:space="0" w:color="auto"/>
              <w:left w:val="nil"/>
              <w:bottom w:val="single" w:sz="8" w:space="0" w:color="auto"/>
              <w:right w:val="single" w:sz="8" w:space="0" w:color="auto"/>
            </w:tcBorders>
            <w:shd w:val="clear" w:color="auto" w:fill="auto"/>
            <w:noWrap/>
            <w:vAlign w:val="center"/>
            <w:hideMark/>
          </w:tcPr>
          <w:p w:rsidR="0075764B" w:rsidRPr="00A1583F" w:rsidRDefault="0075764B" w:rsidP="0075764B">
            <w:pPr>
              <w:spacing w:before="40" w:after="40" w:line="240" w:lineRule="auto"/>
              <w:jc w:val="right"/>
              <w:rPr>
                <w:rFonts w:asciiTheme="minorHAnsi" w:hAnsiTheme="minorHAnsi" w:cstheme="minorHAnsi"/>
                <w:b/>
                <w:sz w:val="18"/>
                <w:szCs w:val="18"/>
              </w:rPr>
            </w:pPr>
            <w:r w:rsidRPr="00A1583F">
              <w:rPr>
                <w:rFonts w:asciiTheme="minorHAnsi" w:hAnsiTheme="minorHAnsi" w:cstheme="minorHAnsi"/>
                <w:b/>
                <w:sz w:val="18"/>
                <w:szCs w:val="18"/>
              </w:rPr>
              <w:t>3,864</w:t>
            </w:r>
          </w:p>
        </w:tc>
      </w:tr>
    </w:tbl>
    <w:bookmarkEnd w:id="2"/>
    <w:p w:rsidR="002C597C" w:rsidRDefault="002C597C" w:rsidP="002C597C">
      <w:pPr>
        <w:spacing w:before="0"/>
        <w:rPr>
          <w:rFonts w:ascii="Tahoma" w:hAnsi="Tahoma" w:cs="Tahoma"/>
          <w:i/>
          <w:sz w:val="16"/>
        </w:rPr>
      </w:pPr>
      <w:r w:rsidRPr="002C597C">
        <w:rPr>
          <w:rFonts w:ascii="Tahoma" w:hAnsi="Tahoma" w:cs="Tahoma"/>
          <w:i/>
          <w:sz w:val="16"/>
        </w:rPr>
        <w:t xml:space="preserve">* </w:t>
      </w:r>
      <w:r w:rsidR="0026175A">
        <w:rPr>
          <w:rFonts w:ascii="Tahoma" w:hAnsi="Tahoma" w:cs="Tahoma"/>
          <w:i/>
          <w:sz w:val="16"/>
        </w:rPr>
        <w:t xml:space="preserve">Total </w:t>
      </w:r>
      <w:r w:rsidR="00F93F2A">
        <w:rPr>
          <w:rFonts w:ascii="Tahoma" w:hAnsi="Tahoma" w:cs="Tahoma"/>
          <w:i/>
          <w:sz w:val="16"/>
        </w:rPr>
        <w:t xml:space="preserve">of gifts received </w:t>
      </w:r>
      <w:r w:rsidR="0026175A">
        <w:rPr>
          <w:rFonts w:ascii="Tahoma" w:hAnsi="Tahoma" w:cs="Tahoma"/>
          <w:i/>
          <w:sz w:val="16"/>
        </w:rPr>
        <w:t xml:space="preserve">differs </w:t>
      </w:r>
      <w:r w:rsidR="00F93F2A">
        <w:rPr>
          <w:rFonts w:ascii="Tahoma" w:hAnsi="Tahoma" w:cs="Tahoma"/>
          <w:i/>
          <w:sz w:val="16"/>
        </w:rPr>
        <w:t>between</w:t>
      </w:r>
      <w:r w:rsidR="0026175A">
        <w:rPr>
          <w:rFonts w:ascii="Tahoma" w:hAnsi="Tahoma" w:cs="Tahoma"/>
          <w:i/>
          <w:sz w:val="16"/>
        </w:rPr>
        <w:t xml:space="preserve"> Table 1 </w:t>
      </w:r>
      <w:r w:rsidR="00F93F2A">
        <w:rPr>
          <w:rFonts w:ascii="Tahoma" w:hAnsi="Tahoma" w:cs="Tahoma"/>
          <w:i/>
          <w:sz w:val="16"/>
        </w:rPr>
        <w:t xml:space="preserve">and Table 2 </w:t>
      </w:r>
      <w:r w:rsidR="0026175A">
        <w:rPr>
          <w:rFonts w:ascii="Tahoma" w:hAnsi="Tahoma" w:cs="Tahoma"/>
          <w:i/>
          <w:sz w:val="16"/>
        </w:rPr>
        <w:t xml:space="preserve">because gifts received </w:t>
      </w:r>
      <w:r w:rsidR="00F93F2A">
        <w:rPr>
          <w:rFonts w:ascii="Tahoma" w:hAnsi="Tahoma" w:cs="Tahoma"/>
          <w:i/>
          <w:sz w:val="16"/>
        </w:rPr>
        <w:t xml:space="preserve">in Table 2 </w:t>
      </w:r>
      <w:r w:rsidR="0026175A">
        <w:rPr>
          <w:rFonts w:ascii="Tahoma" w:hAnsi="Tahoma" w:cs="Tahoma"/>
          <w:i/>
          <w:sz w:val="16"/>
        </w:rPr>
        <w:t>includes only those c</w:t>
      </w:r>
      <w:r>
        <w:rPr>
          <w:rFonts w:ascii="Tahoma" w:hAnsi="Tahoma" w:cs="Tahoma"/>
          <w:i/>
          <w:sz w:val="16"/>
        </w:rPr>
        <w:t xml:space="preserve">ash and </w:t>
      </w:r>
      <w:r w:rsidRPr="002C597C">
        <w:rPr>
          <w:rFonts w:ascii="Tahoma" w:hAnsi="Tahoma" w:cs="Tahoma"/>
          <w:i/>
          <w:sz w:val="16"/>
        </w:rPr>
        <w:t>gifts received</w:t>
      </w:r>
      <w:r>
        <w:rPr>
          <w:rFonts w:ascii="Tahoma" w:hAnsi="Tahoma" w:cs="Tahoma"/>
          <w:i/>
          <w:sz w:val="16"/>
        </w:rPr>
        <w:t xml:space="preserve"> not further defined; gifts received with valid descriptions are included in the </w:t>
      </w:r>
      <w:r w:rsidR="0026175A">
        <w:rPr>
          <w:rFonts w:ascii="Tahoma" w:hAnsi="Tahoma" w:cs="Tahoma"/>
          <w:i/>
          <w:sz w:val="16"/>
        </w:rPr>
        <w:t xml:space="preserve">appropriate type of </w:t>
      </w:r>
      <w:r>
        <w:rPr>
          <w:rFonts w:ascii="Tahoma" w:hAnsi="Tahoma" w:cs="Tahoma"/>
          <w:i/>
          <w:sz w:val="16"/>
        </w:rPr>
        <w:t>expenditure group</w:t>
      </w:r>
      <w:r w:rsidR="00F93F2A">
        <w:rPr>
          <w:rFonts w:ascii="Tahoma" w:hAnsi="Tahoma" w:cs="Tahoma"/>
          <w:i/>
          <w:sz w:val="16"/>
        </w:rPr>
        <w:t xml:space="preserve"> in Table 2</w:t>
      </w:r>
      <w:r w:rsidRPr="002C597C">
        <w:rPr>
          <w:rFonts w:ascii="Tahoma" w:hAnsi="Tahoma" w:cs="Tahoma"/>
          <w:i/>
          <w:sz w:val="16"/>
        </w:rPr>
        <w:t>.</w:t>
      </w:r>
      <w:r w:rsidR="00F93F2A">
        <w:rPr>
          <w:rFonts w:ascii="Tahoma" w:hAnsi="Tahoma" w:cs="Tahoma"/>
          <w:i/>
          <w:sz w:val="16"/>
        </w:rPr>
        <w:t xml:space="preserve"> </w:t>
      </w:r>
      <w:proofErr w:type="gramStart"/>
      <w:r w:rsidR="00F93F2A">
        <w:rPr>
          <w:rFonts w:ascii="Tahoma" w:hAnsi="Tahoma" w:cs="Tahoma"/>
          <w:i/>
          <w:sz w:val="16"/>
        </w:rPr>
        <w:t>Gifts received in Table 1 is</w:t>
      </w:r>
      <w:proofErr w:type="gramEnd"/>
      <w:r w:rsidR="00F93F2A">
        <w:rPr>
          <w:rFonts w:ascii="Tahoma" w:hAnsi="Tahoma" w:cs="Tahoma"/>
          <w:i/>
          <w:sz w:val="16"/>
        </w:rPr>
        <w:t xml:space="preserve"> the total value of all gifts received. </w:t>
      </w:r>
      <w:r w:rsidRPr="002C597C">
        <w:rPr>
          <w:rFonts w:ascii="Tahoma" w:hAnsi="Tahoma" w:cs="Tahoma"/>
          <w:i/>
          <w:sz w:val="16"/>
        </w:rPr>
        <w:t xml:space="preserve"> </w:t>
      </w:r>
    </w:p>
    <w:p w:rsidR="00AE7E6E" w:rsidRPr="002C597C" w:rsidRDefault="00AE7E6E" w:rsidP="002C597C">
      <w:pPr>
        <w:spacing w:before="0"/>
        <w:rPr>
          <w:rFonts w:ascii="Tahoma" w:hAnsi="Tahoma" w:cs="Tahoma"/>
          <w:i/>
          <w:sz w:val="16"/>
        </w:rPr>
      </w:pPr>
    </w:p>
    <w:p w:rsidR="0026175A" w:rsidRDefault="0026175A" w:rsidP="0026175A">
      <w:pPr>
        <w:rPr>
          <w:rFonts w:ascii="Tahoma" w:hAnsi="Tahoma" w:cs="Tahoma"/>
          <w:b/>
        </w:rPr>
        <w:sectPr w:rsidR="0026175A" w:rsidSect="006D16A7">
          <w:pgSz w:w="11906" w:h="16838"/>
          <w:pgMar w:top="1440" w:right="1440" w:bottom="1080" w:left="1440" w:header="708" w:footer="708" w:gutter="0"/>
          <w:cols w:space="708"/>
          <w:rtlGutter/>
          <w:docGrid w:linePitch="360"/>
        </w:sectPr>
      </w:pPr>
    </w:p>
    <w:p w:rsidR="0026175A" w:rsidRDefault="0026175A" w:rsidP="00AE7E6E">
      <w:pPr>
        <w:rPr>
          <w:rFonts w:ascii="Tahoma" w:hAnsi="Tahoma" w:cs="Tahoma"/>
          <w:b/>
        </w:rPr>
      </w:pPr>
      <w:r w:rsidRPr="0026175A">
        <w:rPr>
          <w:rFonts w:ascii="Tahoma" w:hAnsi="Tahoma" w:cs="Tahoma"/>
          <w:b/>
        </w:rPr>
        <w:lastRenderedPageBreak/>
        <w:t>Table 3:</w:t>
      </w:r>
      <w:r w:rsidRPr="0026175A">
        <w:rPr>
          <w:rFonts w:ascii="Tahoma" w:hAnsi="Tahoma" w:cs="Tahoma"/>
          <w:b/>
        </w:rPr>
        <w:tab/>
        <w:t xml:space="preserve">Average household monthly </w:t>
      </w:r>
      <w:r>
        <w:rPr>
          <w:rFonts w:ascii="Tahoma" w:hAnsi="Tahoma" w:cs="Tahoma"/>
          <w:b/>
        </w:rPr>
        <w:t xml:space="preserve">expenditure, </w:t>
      </w:r>
      <w:r w:rsidR="00490847">
        <w:rPr>
          <w:rFonts w:ascii="Tahoma" w:hAnsi="Tahoma" w:cs="Tahoma"/>
          <w:b/>
        </w:rPr>
        <w:t xml:space="preserve">Vatu, </w:t>
      </w:r>
      <w:r>
        <w:rPr>
          <w:rFonts w:ascii="Tahoma" w:hAnsi="Tahoma" w:cs="Tahoma"/>
          <w:b/>
        </w:rPr>
        <w:t xml:space="preserve">expenditure group </w:t>
      </w:r>
    </w:p>
    <w:tbl>
      <w:tblPr>
        <w:tblW w:w="0" w:type="auto"/>
        <w:tblInd w:w="93" w:type="dxa"/>
        <w:tblLook w:val="04A0" w:firstRow="1" w:lastRow="0" w:firstColumn="1" w:lastColumn="0" w:noHBand="0" w:noVBand="1"/>
      </w:tblPr>
      <w:tblGrid>
        <w:gridCol w:w="885"/>
        <w:gridCol w:w="2274"/>
        <w:gridCol w:w="1151"/>
        <w:gridCol w:w="1029"/>
        <w:gridCol w:w="1029"/>
        <w:gridCol w:w="1378"/>
        <w:gridCol w:w="1029"/>
        <w:gridCol w:w="1262"/>
        <w:gridCol w:w="1167"/>
        <w:gridCol w:w="1185"/>
        <w:gridCol w:w="1130"/>
        <w:gridCol w:w="1151"/>
      </w:tblGrid>
      <w:tr w:rsidR="00AE7E6E" w:rsidRPr="00AE7E6E" w:rsidTr="00AE7E6E">
        <w:trPr>
          <w:tblHeader/>
        </w:trPr>
        <w:tc>
          <w:tcPr>
            <w:tcW w:w="0" w:type="auto"/>
            <w:tcBorders>
              <w:top w:val="single" w:sz="4" w:space="0" w:color="auto"/>
              <w:left w:val="single" w:sz="4" w:space="0" w:color="auto"/>
              <w:bottom w:val="nil"/>
              <w:right w:val="nil"/>
            </w:tcBorders>
            <w:shd w:val="clear" w:color="auto" w:fill="auto"/>
            <w:noWrap/>
            <w:vAlign w:val="bottom"/>
            <w:hideMark/>
          </w:tcPr>
          <w:p w:rsidR="00AE7E6E" w:rsidRPr="00AE7E6E" w:rsidRDefault="00AE7E6E" w:rsidP="00AE7E6E">
            <w:pPr>
              <w:spacing w:before="0" w:after="0" w:line="240" w:lineRule="auto"/>
              <w:rPr>
                <w:b/>
                <w:bCs/>
                <w:color w:val="000000"/>
                <w:sz w:val="16"/>
                <w:szCs w:val="16"/>
                <w:lang w:eastAsia="en-NZ"/>
              </w:rPr>
            </w:pPr>
            <w:r w:rsidRPr="00AE7E6E">
              <w:rPr>
                <w:b/>
                <w:bCs/>
                <w:color w:val="000000"/>
                <w:sz w:val="16"/>
                <w:szCs w:val="16"/>
                <w:lang w:eastAsia="en-NZ"/>
              </w:rPr>
              <w:t> </w:t>
            </w:r>
          </w:p>
        </w:tc>
        <w:tc>
          <w:tcPr>
            <w:tcW w:w="0" w:type="auto"/>
            <w:tcBorders>
              <w:top w:val="single" w:sz="4" w:space="0" w:color="auto"/>
              <w:left w:val="nil"/>
              <w:bottom w:val="nil"/>
              <w:right w:val="single" w:sz="4" w:space="0" w:color="auto"/>
            </w:tcBorders>
            <w:shd w:val="clear" w:color="auto" w:fill="auto"/>
            <w:noWrap/>
            <w:vAlign w:val="bottom"/>
            <w:hideMark/>
          </w:tcPr>
          <w:p w:rsidR="00AE7E6E" w:rsidRPr="00AE7E6E" w:rsidRDefault="00AE7E6E" w:rsidP="00AE7E6E">
            <w:pPr>
              <w:spacing w:before="0" w:after="0" w:line="240" w:lineRule="auto"/>
              <w:rPr>
                <w:b/>
                <w:bCs/>
                <w:color w:val="000000"/>
                <w:sz w:val="16"/>
                <w:szCs w:val="16"/>
                <w:lang w:eastAsia="en-NZ"/>
              </w:rPr>
            </w:pPr>
            <w:r w:rsidRPr="00AE7E6E">
              <w:rPr>
                <w:b/>
                <w:bCs/>
                <w:color w:val="000000"/>
                <w:sz w:val="16"/>
                <w:szCs w:val="16"/>
                <w:lang w:eastAsia="en-NZ"/>
              </w:rPr>
              <w:t> </w:t>
            </w:r>
          </w:p>
        </w:tc>
        <w:tc>
          <w:tcPr>
            <w:tcW w:w="0" w:type="auto"/>
            <w:gridSpan w:val="9"/>
            <w:tcBorders>
              <w:top w:val="single" w:sz="4" w:space="0" w:color="auto"/>
              <w:left w:val="single" w:sz="4" w:space="0" w:color="auto"/>
              <w:bottom w:val="nil"/>
              <w:right w:val="nil"/>
            </w:tcBorders>
            <w:shd w:val="clear" w:color="auto" w:fill="auto"/>
            <w:noWrap/>
            <w:vAlign w:val="bottom"/>
            <w:hideMark/>
          </w:tcPr>
          <w:p w:rsidR="00AE7E6E" w:rsidRPr="00AE7E6E" w:rsidRDefault="00AE7E6E" w:rsidP="00AE7E6E">
            <w:pPr>
              <w:spacing w:before="0" w:after="0" w:line="240" w:lineRule="auto"/>
              <w:jc w:val="center"/>
              <w:rPr>
                <w:b/>
                <w:bCs/>
                <w:color w:val="000000"/>
                <w:sz w:val="16"/>
                <w:szCs w:val="16"/>
                <w:lang w:eastAsia="en-NZ"/>
              </w:rPr>
            </w:pPr>
            <w:r w:rsidRPr="00AE7E6E">
              <w:rPr>
                <w:b/>
                <w:bCs/>
                <w:color w:val="000000"/>
                <w:sz w:val="16"/>
                <w:szCs w:val="16"/>
                <w:lang w:eastAsia="en-NZ"/>
              </w:rPr>
              <w:t>Expenditure group</w:t>
            </w:r>
          </w:p>
        </w:tc>
        <w:tc>
          <w:tcPr>
            <w:tcW w:w="0" w:type="auto"/>
            <w:tcBorders>
              <w:top w:val="single" w:sz="4" w:space="0" w:color="auto"/>
              <w:left w:val="single" w:sz="4" w:space="0" w:color="auto"/>
              <w:bottom w:val="nil"/>
              <w:right w:val="single" w:sz="4" w:space="0" w:color="auto"/>
            </w:tcBorders>
            <w:shd w:val="clear" w:color="auto" w:fill="auto"/>
            <w:noWrap/>
            <w:vAlign w:val="bottom"/>
            <w:hideMark/>
          </w:tcPr>
          <w:p w:rsidR="00AE7E6E" w:rsidRPr="00AE7E6E" w:rsidRDefault="00AE7E6E" w:rsidP="00AE7E6E">
            <w:pPr>
              <w:spacing w:before="0" w:after="0" w:line="240" w:lineRule="auto"/>
              <w:rPr>
                <w:b/>
                <w:bCs/>
                <w:color w:val="000000"/>
                <w:sz w:val="16"/>
                <w:szCs w:val="16"/>
                <w:lang w:eastAsia="en-NZ"/>
              </w:rPr>
            </w:pPr>
            <w:r w:rsidRPr="00AE7E6E">
              <w:rPr>
                <w:b/>
                <w:bCs/>
                <w:color w:val="000000"/>
                <w:sz w:val="16"/>
                <w:szCs w:val="16"/>
                <w:lang w:eastAsia="en-NZ"/>
              </w:rPr>
              <w:t> </w:t>
            </w:r>
          </w:p>
        </w:tc>
      </w:tr>
      <w:tr w:rsidR="00AE7E6E" w:rsidRPr="00AE7E6E" w:rsidTr="00AE7E6E">
        <w:trPr>
          <w:tblHeader/>
        </w:trPr>
        <w:tc>
          <w:tcPr>
            <w:tcW w:w="0" w:type="auto"/>
            <w:tcBorders>
              <w:top w:val="nil"/>
              <w:left w:val="single" w:sz="4" w:space="0" w:color="auto"/>
              <w:bottom w:val="nil"/>
              <w:right w:val="nil"/>
            </w:tcBorders>
            <w:shd w:val="clear" w:color="auto" w:fill="auto"/>
            <w:noWrap/>
            <w:vAlign w:val="bottom"/>
            <w:hideMark/>
          </w:tcPr>
          <w:p w:rsidR="00AE7E6E" w:rsidRPr="00AE7E6E" w:rsidRDefault="00AE7E6E" w:rsidP="00AE7E6E">
            <w:pPr>
              <w:spacing w:before="0" w:after="0" w:line="240" w:lineRule="auto"/>
              <w:rPr>
                <w:b/>
                <w:bCs/>
                <w:color w:val="000000"/>
                <w:sz w:val="16"/>
                <w:szCs w:val="16"/>
                <w:lang w:eastAsia="en-NZ"/>
              </w:rPr>
            </w:pPr>
            <w:r w:rsidRPr="00AE7E6E">
              <w:rPr>
                <w:b/>
                <w:bCs/>
                <w:color w:val="000000"/>
                <w:sz w:val="16"/>
                <w:szCs w:val="16"/>
                <w:lang w:eastAsia="en-NZ"/>
              </w:rPr>
              <w:t>Province</w:t>
            </w:r>
          </w:p>
        </w:tc>
        <w:tc>
          <w:tcPr>
            <w:tcW w:w="0" w:type="auto"/>
            <w:tcBorders>
              <w:top w:val="nil"/>
              <w:left w:val="nil"/>
              <w:bottom w:val="nil"/>
              <w:right w:val="single" w:sz="4" w:space="0" w:color="auto"/>
            </w:tcBorders>
            <w:shd w:val="clear" w:color="auto" w:fill="auto"/>
            <w:noWrap/>
            <w:vAlign w:val="bottom"/>
            <w:hideMark/>
          </w:tcPr>
          <w:p w:rsidR="00AE7E6E" w:rsidRPr="00AE7E6E" w:rsidRDefault="00AE7E6E" w:rsidP="00AE7E6E">
            <w:pPr>
              <w:spacing w:before="0" w:after="0" w:line="240" w:lineRule="auto"/>
              <w:rPr>
                <w:b/>
                <w:bCs/>
                <w:color w:val="000000"/>
                <w:sz w:val="16"/>
                <w:szCs w:val="16"/>
                <w:lang w:eastAsia="en-NZ"/>
              </w:rPr>
            </w:pPr>
            <w:r w:rsidRPr="00AE7E6E">
              <w:rPr>
                <w:b/>
                <w:bCs/>
                <w:color w:val="000000"/>
                <w:sz w:val="16"/>
                <w:szCs w:val="16"/>
                <w:lang w:eastAsia="en-NZ"/>
              </w:rPr>
              <w:t>Monthly expenditure</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Food</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Housing</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 xml:space="preserve">H'hold </w:t>
            </w:r>
            <w:proofErr w:type="spellStart"/>
            <w:r w:rsidRPr="00AE7E6E">
              <w:rPr>
                <w:b/>
                <w:bCs/>
                <w:color w:val="000000"/>
                <w:sz w:val="16"/>
                <w:szCs w:val="16"/>
                <w:lang w:eastAsia="en-NZ"/>
              </w:rPr>
              <w:t>opn</w:t>
            </w:r>
            <w:proofErr w:type="spellEnd"/>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 xml:space="preserve">Clothing &amp; </w:t>
            </w:r>
            <w:proofErr w:type="spellStart"/>
            <w:r w:rsidRPr="00AE7E6E">
              <w:rPr>
                <w:b/>
                <w:bCs/>
                <w:color w:val="000000"/>
                <w:sz w:val="16"/>
                <w:szCs w:val="16"/>
                <w:lang w:eastAsia="en-NZ"/>
              </w:rPr>
              <w:t>f'wear</w:t>
            </w:r>
            <w:proofErr w:type="spellEnd"/>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Transport</w:t>
            </w:r>
          </w:p>
        </w:tc>
        <w:tc>
          <w:tcPr>
            <w:tcW w:w="0" w:type="auto"/>
            <w:tcBorders>
              <w:top w:val="nil"/>
              <w:left w:val="nil"/>
              <w:bottom w:val="nil"/>
              <w:right w:val="nil"/>
            </w:tcBorders>
            <w:shd w:val="clear" w:color="auto" w:fill="auto"/>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Alcohol, kava &amp; tobacco</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Miscellaneous</w:t>
            </w:r>
          </w:p>
        </w:tc>
        <w:tc>
          <w:tcPr>
            <w:tcW w:w="0" w:type="auto"/>
            <w:tcBorders>
              <w:top w:val="nil"/>
              <w:left w:val="nil"/>
              <w:bottom w:val="nil"/>
              <w:right w:val="nil"/>
            </w:tcBorders>
            <w:shd w:val="clear" w:color="auto" w:fill="auto"/>
            <w:vAlign w:val="bottom"/>
            <w:hideMark/>
          </w:tcPr>
          <w:p w:rsidR="00AE7E6E" w:rsidRPr="00AE7E6E" w:rsidRDefault="00AE7E6E" w:rsidP="00AE7E6E">
            <w:pPr>
              <w:spacing w:before="0" w:after="0" w:line="240" w:lineRule="auto"/>
              <w:jc w:val="right"/>
              <w:rPr>
                <w:b/>
                <w:bCs/>
                <w:color w:val="000000"/>
                <w:sz w:val="16"/>
                <w:szCs w:val="16"/>
                <w:lang w:eastAsia="en-NZ"/>
              </w:rPr>
            </w:pPr>
            <w:r>
              <w:rPr>
                <w:b/>
                <w:bCs/>
                <w:color w:val="000000"/>
                <w:sz w:val="16"/>
                <w:szCs w:val="16"/>
                <w:lang w:eastAsia="en-NZ"/>
              </w:rPr>
              <w:t>N</w:t>
            </w:r>
            <w:r w:rsidRPr="00AE7E6E">
              <w:rPr>
                <w:b/>
                <w:bCs/>
                <w:color w:val="000000"/>
                <w:sz w:val="16"/>
                <w:szCs w:val="16"/>
                <w:lang w:eastAsia="en-NZ"/>
              </w:rPr>
              <w:t>on-consumption</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Gifts received</w:t>
            </w:r>
          </w:p>
        </w:tc>
        <w:tc>
          <w:tcPr>
            <w:tcW w:w="0" w:type="auto"/>
            <w:tcBorders>
              <w:top w:val="nil"/>
              <w:left w:val="single" w:sz="4" w:space="0" w:color="auto"/>
              <w:bottom w:val="nil"/>
              <w:right w:val="single" w:sz="4" w:space="0" w:color="auto"/>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Total</w:t>
            </w:r>
          </w:p>
        </w:tc>
      </w:tr>
      <w:tr w:rsidR="00AE7E6E" w:rsidRPr="00AE7E6E" w:rsidTr="00AE7E6E">
        <w:tc>
          <w:tcPr>
            <w:tcW w:w="0" w:type="auto"/>
            <w:tcBorders>
              <w:top w:val="single" w:sz="4" w:space="0" w:color="auto"/>
              <w:left w:val="single" w:sz="4" w:space="0" w:color="auto"/>
              <w:bottom w:val="nil"/>
              <w:right w:val="nil"/>
            </w:tcBorders>
            <w:shd w:val="clear" w:color="auto" w:fill="auto"/>
            <w:noWrap/>
            <w:vAlign w:val="bottom"/>
            <w:hideMark/>
          </w:tcPr>
          <w:p w:rsidR="00AE7E6E" w:rsidRPr="00AE7E6E" w:rsidRDefault="00AE7E6E" w:rsidP="00AE7E6E">
            <w:pPr>
              <w:spacing w:before="0" w:after="0" w:line="240" w:lineRule="auto"/>
              <w:rPr>
                <w:b/>
                <w:bCs/>
                <w:color w:val="000000"/>
                <w:sz w:val="16"/>
                <w:szCs w:val="16"/>
                <w:lang w:eastAsia="en-NZ"/>
              </w:rPr>
            </w:pPr>
            <w:r w:rsidRPr="00AE7E6E">
              <w:rPr>
                <w:b/>
                <w:bCs/>
                <w:color w:val="000000"/>
                <w:sz w:val="16"/>
                <w:szCs w:val="16"/>
                <w:lang w:eastAsia="en-NZ"/>
              </w:rPr>
              <w:t>Torba</w:t>
            </w:r>
          </w:p>
        </w:tc>
        <w:tc>
          <w:tcPr>
            <w:tcW w:w="0" w:type="auto"/>
            <w:tcBorders>
              <w:top w:val="single" w:sz="4" w:space="0" w:color="auto"/>
              <w:left w:val="nil"/>
              <w:bottom w:val="nil"/>
              <w:right w:val="single" w:sz="4" w:space="0" w:color="auto"/>
            </w:tcBorders>
            <w:shd w:val="clear" w:color="auto" w:fill="auto"/>
            <w:noWrap/>
            <w:vAlign w:val="bottom"/>
            <w:hideMark/>
          </w:tcPr>
          <w:p w:rsidR="00AE7E6E" w:rsidRPr="00AE7E6E" w:rsidRDefault="00AE7E6E" w:rsidP="00AE7E6E">
            <w:pPr>
              <w:spacing w:before="0" w:after="0" w:line="240" w:lineRule="auto"/>
              <w:rPr>
                <w:b/>
                <w:bCs/>
                <w:color w:val="000000"/>
                <w:sz w:val="16"/>
                <w:szCs w:val="16"/>
                <w:lang w:eastAsia="en-NZ"/>
              </w:rPr>
            </w:pPr>
            <w:r w:rsidRPr="00AE7E6E">
              <w:rPr>
                <w:b/>
                <w:bCs/>
                <w:color w:val="000000"/>
                <w:sz w:val="16"/>
                <w:szCs w:val="16"/>
                <w:lang w:eastAsia="en-NZ"/>
              </w:rPr>
              <w:t>Total expenditure</w:t>
            </w:r>
          </w:p>
        </w:tc>
        <w:tc>
          <w:tcPr>
            <w:tcW w:w="0" w:type="auto"/>
            <w:tcBorders>
              <w:top w:val="single" w:sz="4" w:space="0" w:color="auto"/>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78,065,400</w:t>
            </w:r>
          </w:p>
        </w:tc>
        <w:tc>
          <w:tcPr>
            <w:tcW w:w="0" w:type="auto"/>
            <w:tcBorders>
              <w:top w:val="single" w:sz="4" w:space="0" w:color="auto"/>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3,666,900</w:t>
            </w:r>
          </w:p>
        </w:tc>
        <w:tc>
          <w:tcPr>
            <w:tcW w:w="0" w:type="auto"/>
            <w:tcBorders>
              <w:top w:val="single" w:sz="4" w:space="0" w:color="auto"/>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11,173,000</w:t>
            </w:r>
          </w:p>
        </w:tc>
        <w:tc>
          <w:tcPr>
            <w:tcW w:w="0" w:type="auto"/>
            <w:tcBorders>
              <w:top w:val="single" w:sz="4" w:space="0" w:color="auto"/>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202,400</w:t>
            </w:r>
          </w:p>
        </w:tc>
        <w:tc>
          <w:tcPr>
            <w:tcW w:w="0" w:type="auto"/>
            <w:tcBorders>
              <w:top w:val="single" w:sz="4" w:space="0" w:color="auto"/>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1,403,300</w:t>
            </w:r>
          </w:p>
        </w:tc>
        <w:tc>
          <w:tcPr>
            <w:tcW w:w="0" w:type="auto"/>
            <w:tcBorders>
              <w:top w:val="single" w:sz="4" w:space="0" w:color="auto"/>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4,068,500</w:t>
            </w:r>
          </w:p>
        </w:tc>
        <w:tc>
          <w:tcPr>
            <w:tcW w:w="0" w:type="auto"/>
            <w:tcBorders>
              <w:top w:val="single" w:sz="4" w:space="0" w:color="auto"/>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3,754,800</w:t>
            </w:r>
          </w:p>
        </w:tc>
        <w:tc>
          <w:tcPr>
            <w:tcW w:w="0" w:type="auto"/>
            <w:tcBorders>
              <w:top w:val="single" w:sz="4" w:space="0" w:color="auto"/>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4,934,300</w:t>
            </w:r>
          </w:p>
        </w:tc>
        <w:tc>
          <w:tcPr>
            <w:tcW w:w="0" w:type="auto"/>
            <w:tcBorders>
              <w:top w:val="single" w:sz="4" w:space="0" w:color="auto"/>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1,213,700</w:t>
            </w:r>
          </w:p>
        </w:tc>
        <w:tc>
          <w:tcPr>
            <w:tcW w:w="0" w:type="auto"/>
            <w:tcBorders>
              <w:top w:val="single" w:sz="4" w:space="0" w:color="auto"/>
              <w:left w:val="single" w:sz="4" w:space="0" w:color="auto"/>
              <w:bottom w:val="nil"/>
              <w:right w:val="single" w:sz="4" w:space="0" w:color="auto"/>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108,482,200</w:t>
            </w:r>
          </w:p>
        </w:tc>
      </w:tr>
      <w:tr w:rsidR="00AE7E6E" w:rsidRPr="00AE7E6E" w:rsidTr="00AE7E6E">
        <w:tc>
          <w:tcPr>
            <w:tcW w:w="0" w:type="auto"/>
            <w:tcBorders>
              <w:top w:val="nil"/>
              <w:left w:val="single" w:sz="4" w:space="0" w:color="auto"/>
              <w:bottom w:val="nil"/>
              <w:right w:val="nil"/>
            </w:tcBorders>
            <w:shd w:val="clear" w:color="auto" w:fill="auto"/>
            <w:noWrap/>
            <w:vAlign w:val="bottom"/>
            <w:hideMark/>
          </w:tcPr>
          <w:p w:rsidR="00AE7E6E" w:rsidRPr="00AE7E6E" w:rsidRDefault="00AE7E6E" w:rsidP="00AE7E6E">
            <w:pPr>
              <w:spacing w:before="0" w:after="0" w:line="240" w:lineRule="auto"/>
              <w:rPr>
                <w:color w:val="000000"/>
                <w:sz w:val="16"/>
                <w:szCs w:val="16"/>
                <w:lang w:eastAsia="en-NZ"/>
              </w:rPr>
            </w:pPr>
            <w:r w:rsidRPr="00AE7E6E">
              <w:rPr>
                <w:color w:val="000000"/>
                <w:sz w:val="16"/>
                <w:szCs w:val="16"/>
                <w:lang w:eastAsia="en-NZ"/>
              </w:rPr>
              <w:t> </w:t>
            </w:r>
          </w:p>
        </w:tc>
        <w:tc>
          <w:tcPr>
            <w:tcW w:w="0" w:type="auto"/>
            <w:tcBorders>
              <w:top w:val="nil"/>
              <w:left w:val="nil"/>
              <w:bottom w:val="nil"/>
              <w:right w:val="single" w:sz="4" w:space="0" w:color="auto"/>
            </w:tcBorders>
            <w:shd w:val="clear" w:color="auto" w:fill="auto"/>
            <w:noWrap/>
            <w:vAlign w:val="bottom"/>
            <w:hideMark/>
          </w:tcPr>
          <w:p w:rsidR="00AE7E6E" w:rsidRPr="00AE7E6E" w:rsidRDefault="00AE7E6E" w:rsidP="00AE7E6E">
            <w:pPr>
              <w:spacing w:before="0" w:after="0" w:line="240" w:lineRule="auto"/>
              <w:rPr>
                <w:color w:val="000000"/>
                <w:sz w:val="16"/>
                <w:szCs w:val="16"/>
                <w:lang w:eastAsia="en-NZ"/>
              </w:rPr>
            </w:pPr>
            <w:r w:rsidRPr="00AE7E6E">
              <w:rPr>
                <w:color w:val="000000"/>
                <w:sz w:val="16"/>
                <w:szCs w:val="16"/>
                <w:lang w:eastAsia="en-NZ"/>
              </w:rPr>
              <w:t>H'holds with expenditure</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1,790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1,790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1,740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420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590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1,120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1,500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1,150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90</w:t>
            </w:r>
          </w:p>
        </w:tc>
        <w:tc>
          <w:tcPr>
            <w:tcW w:w="0" w:type="auto"/>
            <w:tcBorders>
              <w:top w:val="nil"/>
              <w:left w:val="single" w:sz="4" w:space="0" w:color="auto"/>
              <w:bottom w:val="nil"/>
              <w:right w:val="single" w:sz="4" w:space="0" w:color="auto"/>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1,790</w:t>
            </w:r>
          </w:p>
        </w:tc>
      </w:tr>
      <w:tr w:rsidR="00AE7E6E" w:rsidRPr="00AE7E6E" w:rsidTr="00AE7E6E">
        <w:tc>
          <w:tcPr>
            <w:tcW w:w="0" w:type="auto"/>
            <w:tcBorders>
              <w:top w:val="nil"/>
              <w:left w:val="single" w:sz="4" w:space="0" w:color="auto"/>
              <w:bottom w:val="nil"/>
              <w:right w:val="nil"/>
            </w:tcBorders>
            <w:shd w:val="clear" w:color="auto" w:fill="auto"/>
            <w:noWrap/>
            <w:vAlign w:val="bottom"/>
            <w:hideMark/>
          </w:tcPr>
          <w:p w:rsidR="00AE7E6E" w:rsidRPr="00AE7E6E" w:rsidRDefault="00AE7E6E" w:rsidP="00AE7E6E">
            <w:pPr>
              <w:spacing w:before="0" w:after="0" w:line="240" w:lineRule="auto"/>
              <w:rPr>
                <w:color w:val="000000"/>
                <w:sz w:val="16"/>
                <w:szCs w:val="16"/>
                <w:lang w:eastAsia="en-NZ"/>
              </w:rPr>
            </w:pPr>
            <w:r w:rsidRPr="00AE7E6E">
              <w:rPr>
                <w:color w:val="000000"/>
                <w:sz w:val="16"/>
                <w:szCs w:val="16"/>
                <w:lang w:eastAsia="en-NZ"/>
              </w:rPr>
              <w:t> </w:t>
            </w:r>
          </w:p>
        </w:tc>
        <w:tc>
          <w:tcPr>
            <w:tcW w:w="0" w:type="auto"/>
            <w:tcBorders>
              <w:top w:val="nil"/>
              <w:left w:val="nil"/>
              <w:bottom w:val="nil"/>
              <w:right w:val="single" w:sz="4" w:space="0" w:color="auto"/>
            </w:tcBorders>
            <w:shd w:val="clear" w:color="auto" w:fill="auto"/>
            <w:noWrap/>
            <w:vAlign w:val="bottom"/>
            <w:hideMark/>
          </w:tcPr>
          <w:p w:rsidR="00AE7E6E" w:rsidRPr="00AE7E6E" w:rsidRDefault="00AE7E6E" w:rsidP="00AE7E6E">
            <w:pPr>
              <w:spacing w:before="0" w:after="0" w:line="240" w:lineRule="auto"/>
              <w:rPr>
                <w:color w:val="000000"/>
                <w:sz w:val="16"/>
                <w:szCs w:val="16"/>
                <w:lang w:eastAsia="en-NZ"/>
              </w:rPr>
            </w:pPr>
            <w:r w:rsidRPr="00AE7E6E">
              <w:rPr>
                <w:color w:val="000000"/>
                <w:sz w:val="16"/>
                <w:szCs w:val="16"/>
                <w:lang w:eastAsia="en-NZ"/>
              </w:rPr>
              <w:t>People residing in these h'holds</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9,710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9,670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9,490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2,470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3,460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6,320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8,350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6,330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530</w:t>
            </w:r>
          </w:p>
        </w:tc>
        <w:tc>
          <w:tcPr>
            <w:tcW w:w="0" w:type="auto"/>
            <w:tcBorders>
              <w:top w:val="nil"/>
              <w:left w:val="single" w:sz="4" w:space="0" w:color="auto"/>
              <w:bottom w:val="nil"/>
              <w:right w:val="single" w:sz="4" w:space="0" w:color="auto"/>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9,710</w:t>
            </w:r>
          </w:p>
        </w:tc>
      </w:tr>
      <w:tr w:rsidR="00AE7E6E" w:rsidRPr="00AE7E6E" w:rsidTr="00AE7E6E">
        <w:tc>
          <w:tcPr>
            <w:tcW w:w="0" w:type="auto"/>
            <w:tcBorders>
              <w:top w:val="nil"/>
              <w:left w:val="single" w:sz="4" w:space="0" w:color="auto"/>
              <w:bottom w:val="nil"/>
              <w:right w:val="nil"/>
            </w:tcBorders>
            <w:shd w:val="clear" w:color="auto" w:fill="auto"/>
            <w:noWrap/>
            <w:vAlign w:val="bottom"/>
            <w:hideMark/>
          </w:tcPr>
          <w:p w:rsidR="00AE7E6E" w:rsidRPr="00AE7E6E" w:rsidRDefault="00AE7E6E" w:rsidP="00AE7E6E">
            <w:pPr>
              <w:spacing w:before="0" w:after="0" w:line="240" w:lineRule="auto"/>
              <w:rPr>
                <w:color w:val="000000"/>
                <w:sz w:val="16"/>
                <w:szCs w:val="16"/>
                <w:lang w:eastAsia="en-NZ"/>
              </w:rPr>
            </w:pPr>
            <w:r w:rsidRPr="00AE7E6E">
              <w:rPr>
                <w:color w:val="000000"/>
                <w:sz w:val="16"/>
                <w:szCs w:val="16"/>
                <w:lang w:eastAsia="en-NZ"/>
              </w:rPr>
              <w:t> </w:t>
            </w:r>
          </w:p>
        </w:tc>
        <w:tc>
          <w:tcPr>
            <w:tcW w:w="0" w:type="auto"/>
            <w:tcBorders>
              <w:top w:val="nil"/>
              <w:left w:val="nil"/>
              <w:bottom w:val="nil"/>
              <w:right w:val="single" w:sz="4" w:space="0" w:color="auto"/>
            </w:tcBorders>
            <w:shd w:val="clear" w:color="auto" w:fill="auto"/>
            <w:noWrap/>
            <w:vAlign w:val="bottom"/>
            <w:hideMark/>
          </w:tcPr>
          <w:p w:rsidR="00AE7E6E" w:rsidRPr="00AE7E6E" w:rsidRDefault="00AE7E6E" w:rsidP="00AE7E6E">
            <w:pPr>
              <w:spacing w:before="0" w:after="0" w:line="240" w:lineRule="auto"/>
              <w:rPr>
                <w:color w:val="000000"/>
                <w:sz w:val="16"/>
                <w:szCs w:val="16"/>
                <w:lang w:eastAsia="en-NZ"/>
              </w:rPr>
            </w:pPr>
            <w:r w:rsidRPr="00AE7E6E">
              <w:rPr>
                <w:color w:val="000000"/>
                <w:sz w:val="16"/>
                <w:szCs w:val="16"/>
                <w:lang w:eastAsia="en-NZ"/>
              </w:rPr>
              <w:t>Average h'hold expenditure</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43,600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2,100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6,400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500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2,400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3,600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2,500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4,300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13,300</w:t>
            </w:r>
          </w:p>
        </w:tc>
        <w:tc>
          <w:tcPr>
            <w:tcW w:w="0" w:type="auto"/>
            <w:tcBorders>
              <w:top w:val="nil"/>
              <w:left w:val="single" w:sz="4" w:space="0" w:color="auto"/>
              <w:bottom w:val="nil"/>
              <w:right w:val="single" w:sz="4" w:space="0" w:color="auto"/>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60,600</w:t>
            </w:r>
          </w:p>
        </w:tc>
      </w:tr>
      <w:tr w:rsidR="00AE7E6E" w:rsidRPr="00AE7E6E" w:rsidTr="00AE7E6E">
        <w:tc>
          <w:tcPr>
            <w:tcW w:w="0" w:type="auto"/>
            <w:tcBorders>
              <w:top w:val="nil"/>
              <w:left w:val="single" w:sz="4" w:space="0" w:color="auto"/>
              <w:bottom w:val="single" w:sz="4" w:space="0" w:color="auto"/>
              <w:right w:val="nil"/>
            </w:tcBorders>
            <w:shd w:val="clear" w:color="auto" w:fill="auto"/>
            <w:noWrap/>
            <w:vAlign w:val="bottom"/>
            <w:hideMark/>
          </w:tcPr>
          <w:p w:rsidR="00AE7E6E" w:rsidRPr="00AE7E6E" w:rsidRDefault="00AE7E6E" w:rsidP="00AE7E6E">
            <w:pPr>
              <w:spacing w:before="0" w:after="0" w:line="240" w:lineRule="auto"/>
              <w:rPr>
                <w:color w:val="000000"/>
                <w:sz w:val="16"/>
                <w:szCs w:val="16"/>
                <w:lang w:eastAsia="en-NZ"/>
              </w:rPr>
            </w:pPr>
            <w:r w:rsidRPr="00AE7E6E">
              <w:rPr>
                <w:color w:val="000000"/>
                <w:sz w:val="16"/>
                <w:szCs w:val="16"/>
                <w:lang w:eastAsia="en-NZ"/>
              </w:rPr>
              <w:t> </w:t>
            </w:r>
          </w:p>
        </w:tc>
        <w:tc>
          <w:tcPr>
            <w:tcW w:w="0" w:type="auto"/>
            <w:tcBorders>
              <w:top w:val="nil"/>
              <w:left w:val="nil"/>
              <w:bottom w:val="single" w:sz="4" w:space="0" w:color="auto"/>
              <w:right w:val="single" w:sz="4" w:space="0" w:color="auto"/>
            </w:tcBorders>
            <w:shd w:val="clear" w:color="auto" w:fill="auto"/>
            <w:noWrap/>
            <w:vAlign w:val="bottom"/>
            <w:hideMark/>
          </w:tcPr>
          <w:p w:rsidR="00AE7E6E" w:rsidRPr="00AE7E6E" w:rsidRDefault="00AE7E6E" w:rsidP="00AE7E6E">
            <w:pPr>
              <w:spacing w:before="0" w:after="0" w:line="240" w:lineRule="auto"/>
              <w:rPr>
                <w:color w:val="000000"/>
                <w:sz w:val="16"/>
                <w:szCs w:val="16"/>
                <w:lang w:eastAsia="en-NZ"/>
              </w:rPr>
            </w:pPr>
            <w:r w:rsidRPr="00AE7E6E">
              <w:rPr>
                <w:color w:val="000000"/>
                <w:sz w:val="16"/>
                <w:szCs w:val="16"/>
                <w:lang w:eastAsia="en-NZ"/>
              </w:rPr>
              <w:t>Average per capita expenditure</w:t>
            </w:r>
          </w:p>
        </w:tc>
        <w:tc>
          <w:tcPr>
            <w:tcW w:w="0" w:type="auto"/>
            <w:tcBorders>
              <w:top w:val="nil"/>
              <w:left w:val="nil"/>
              <w:bottom w:val="single" w:sz="4" w:space="0" w:color="auto"/>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8,000</w:t>
            </w:r>
          </w:p>
        </w:tc>
        <w:tc>
          <w:tcPr>
            <w:tcW w:w="0" w:type="auto"/>
            <w:tcBorders>
              <w:top w:val="nil"/>
              <w:left w:val="nil"/>
              <w:bottom w:val="single" w:sz="4" w:space="0" w:color="auto"/>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400</w:t>
            </w:r>
          </w:p>
        </w:tc>
        <w:tc>
          <w:tcPr>
            <w:tcW w:w="0" w:type="auto"/>
            <w:tcBorders>
              <w:top w:val="nil"/>
              <w:left w:val="nil"/>
              <w:bottom w:val="single" w:sz="4" w:space="0" w:color="auto"/>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1,200</w:t>
            </w:r>
          </w:p>
        </w:tc>
        <w:tc>
          <w:tcPr>
            <w:tcW w:w="0" w:type="auto"/>
            <w:tcBorders>
              <w:top w:val="nil"/>
              <w:left w:val="nil"/>
              <w:bottom w:val="single" w:sz="4" w:space="0" w:color="auto"/>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100</w:t>
            </w:r>
          </w:p>
        </w:tc>
        <w:tc>
          <w:tcPr>
            <w:tcW w:w="0" w:type="auto"/>
            <w:tcBorders>
              <w:top w:val="nil"/>
              <w:left w:val="nil"/>
              <w:bottom w:val="single" w:sz="4" w:space="0" w:color="auto"/>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400</w:t>
            </w:r>
          </w:p>
        </w:tc>
        <w:tc>
          <w:tcPr>
            <w:tcW w:w="0" w:type="auto"/>
            <w:tcBorders>
              <w:top w:val="nil"/>
              <w:left w:val="nil"/>
              <w:bottom w:val="single" w:sz="4" w:space="0" w:color="auto"/>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600</w:t>
            </w:r>
          </w:p>
        </w:tc>
        <w:tc>
          <w:tcPr>
            <w:tcW w:w="0" w:type="auto"/>
            <w:tcBorders>
              <w:top w:val="nil"/>
              <w:left w:val="nil"/>
              <w:bottom w:val="single" w:sz="4" w:space="0" w:color="auto"/>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400</w:t>
            </w:r>
          </w:p>
        </w:tc>
        <w:tc>
          <w:tcPr>
            <w:tcW w:w="0" w:type="auto"/>
            <w:tcBorders>
              <w:top w:val="nil"/>
              <w:left w:val="nil"/>
              <w:bottom w:val="single" w:sz="4" w:space="0" w:color="auto"/>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800</w:t>
            </w:r>
          </w:p>
        </w:tc>
        <w:tc>
          <w:tcPr>
            <w:tcW w:w="0" w:type="auto"/>
            <w:tcBorders>
              <w:top w:val="nil"/>
              <w:left w:val="nil"/>
              <w:bottom w:val="single" w:sz="4" w:space="0" w:color="auto"/>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2,300</w:t>
            </w:r>
          </w:p>
        </w:tc>
        <w:tc>
          <w:tcPr>
            <w:tcW w:w="0" w:type="auto"/>
            <w:tcBorders>
              <w:top w:val="nil"/>
              <w:left w:val="single" w:sz="4" w:space="0" w:color="auto"/>
              <w:bottom w:val="nil"/>
              <w:right w:val="single" w:sz="4" w:space="0" w:color="auto"/>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11,200</w:t>
            </w:r>
          </w:p>
        </w:tc>
      </w:tr>
      <w:tr w:rsidR="00AE7E6E" w:rsidRPr="00AE7E6E" w:rsidTr="00AE7E6E">
        <w:tc>
          <w:tcPr>
            <w:tcW w:w="0" w:type="auto"/>
            <w:tcBorders>
              <w:top w:val="nil"/>
              <w:left w:val="single" w:sz="4" w:space="0" w:color="auto"/>
              <w:bottom w:val="nil"/>
              <w:right w:val="nil"/>
            </w:tcBorders>
            <w:shd w:val="clear" w:color="auto" w:fill="auto"/>
            <w:noWrap/>
            <w:vAlign w:val="bottom"/>
            <w:hideMark/>
          </w:tcPr>
          <w:p w:rsidR="00AE7E6E" w:rsidRPr="00AE7E6E" w:rsidRDefault="00AE7E6E" w:rsidP="00AE7E6E">
            <w:pPr>
              <w:spacing w:before="0" w:after="0" w:line="240" w:lineRule="auto"/>
              <w:rPr>
                <w:b/>
                <w:bCs/>
                <w:color w:val="000000"/>
                <w:sz w:val="16"/>
                <w:szCs w:val="16"/>
                <w:lang w:eastAsia="en-NZ"/>
              </w:rPr>
            </w:pPr>
            <w:r w:rsidRPr="00AE7E6E">
              <w:rPr>
                <w:b/>
                <w:bCs/>
                <w:color w:val="000000"/>
                <w:sz w:val="16"/>
                <w:szCs w:val="16"/>
                <w:lang w:eastAsia="en-NZ"/>
              </w:rPr>
              <w:t>Sanma</w:t>
            </w:r>
          </w:p>
        </w:tc>
        <w:tc>
          <w:tcPr>
            <w:tcW w:w="0" w:type="auto"/>
            <w:tcBorders>
              <w:top w:val="nil"/>
              <w:left w:val="nil"/>
              <w:bottom w:val="nil"/>
              <w:right w:val="single" w:sz="4" w:space="0" w:color="auto"/>
            </w:tcBorders>
            <w:shd w:val="clear" w:color="auto" w:fill="auto"/>
            <w:noWrap/>
            <w:vAlign w:val="bottom"/>
            <w:hideMark/>
          </w:tcPr>
          <w:p w:rsidR="00AE7E6E" w:rsidRPr="00AE7E6E" w:rsidRDefault="00AE7E6E" w:rsidP="00AE7E6E">
            <w:pPr>
              <w:spacing w:before="0" w:after="0" w:line="240" w:lineRule="auto"/>
              <w:rPr>
                <w:b/>
                <w:bCs/>
                <w:color w:val="000000"/>
                <w:sz w:val="16"/>
                <w:szCs w:val="16"/>
                <w:lang w:eastAsia="en-NZ"/>
              </w:rPr>
            </w:pPr>
            <w:r w:rsidRPr="00AE7E6E">
              <w:rPr>
                <w:b/>
                <w:bCs/>
                <w:color w:val="000000"/>
                <w:sz w:val="16"/>
                <w:szCs w:val="16"/>
                <w:lang w:eastAsia="en-NZ"/>
              </w:rPr>
              <w:t>Total expenditure</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344,201,000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21,094,800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52,117,900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975,800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20,317,100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17,577,500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18,146,800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20,152,300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2,649,500</w:t>
            </w:r>
          </w:p>
        </w:tc>
        <w:tc>
          <w:tcPr>
            <w:tcW w:w="0" w:type="auto"/>
            <w:tcBorders>
              <w:top w:val="single" w:sz="4" w:space="0" w:color="auto"/>
              <w:left w:val="single" w:sz="4" w:space="0" w:color="auto"/>
              <w:bottom w:val="nil"/>
              <w:right w:val="single" w:sz="4" w:space="0" w:color="auto"/>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497,232,500</w:t>
            </w:r>
          </w:p>
        </w:tc>
      </w:tr>
      <w:tr w:rsidR="00AE7E6E" w:rsidRPr="00AE7E6E" w:rsidTr="00AE7E6E">
        <w:tc>
          <w:tcPr>
            <w:tcW w:w="0" w:type="auto"/>
            <w:tcBorders>
              <w:top w:val="nil"/>
              <w:left w:val="single" w:sz="4" w:space="0" w:color="auto"/>
              <w:bottom w:val="nil"/>
              <w:right w:val="nil"/>
            </w:tcBorders>
            <w:shd w:val="clear" w:color="auto" w:fill="auto"/>
            <w:noWrap/>
            <w:vAlign w:val="bottom"/>
            <w:hideMark/>
          </w:tcPr>
          <w:p w:rsidR="00AE7E6E" w:rsidRPr="00AE7E6E" w:rsidRDefault="00AE7E6E" w:rsidP="00AE7E6E">
            <w:pPr>
              <w:spacing w:before="0" w:after="0" w:line="240" w:lineRule="auto"/>
              <w:rPr>
                <w:b/>
                <w:bCs/>
                <w:color w:val="000000"/>
                <w:sz w:val="16"/>
                <w:szCs w:val="16"/>
                <w:lang w:eastAsia="en-NZ"/>
              </w:rPr>
            </w:pPr>
            <w:r w:rsidRPr="00AE7E6E">
              <w:rPr>
                <w:b/>
                <w:bCs/>
                <w:color w:val="000000"/>
                <w:sz w:val="16"/>
                <w:szCs w:val="16"/>
                <w:lang w:eastAsia="en-NZ"/>
              </w:rPr>
              <w:t>(rural)</w:t>
            </w:r>
          </w:p>
        </w:tc>
        <w:tc>
          <w:tcPr>
            <w:tcW w:w="0" w:type="auto"/>
            <w:tcBorders>
              <w:top w:val="nil"/>
              <w:left w:val="nil"/>
              <w:bottom w:val="nil"/>
              <w:right w:val="single" w:sz="4" w:space="0" w:color="auto"/>
            </w:tcBorders>
            <w:shd w:val="clear" w:color="auto" w:fill="auto"/>
            <w:noWrap/>
            <w:vAlign w:val="bottom"/>
            <w:hideMark/>
          </w:tcPr>
          <w:p w:rsidR="00AE7E6E" w:rsidRPr="00AE7E6E" w:rsidRDefault="00AE7E6E" w:rsidP="00AE7E6E">
            <w:pPr>
              <w:spacing w:before="0" w:after="0" w:line="240" w:lineRule="auto"/>
              <w:rPr>
                <w:color w:val="000000"/>
                <w:sz w:val="16"/>
                <w:szCs w:val="16"/>
                <w:lang w:eastAsia="en-NZ"/>
              </w:rPr>
            </w:pPr>
            <w:r w:rsidRPr="00AE7E6E">
              <w:rPr>
                <w:color w:val="000000"/>
                <w:sz w:val="16"/>
                <w:szCs w:val="16"/>
                <w:lang w:eastAsia="en-NZ"/>
              </w:rPr>
              <w:t>H'holds with expenditure</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7,040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7,040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6,810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1,840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3,430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3,900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5,900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3,660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450</w:t>
            </w:r>
          </w:p>
        </w:tc>
        <w:tc>
          <w:tcPr>
            <w:tcW w:w="0" w:type="auto"/>
            <w:tcBorders>
              <w:top w:val="nil"/>
              <w:left w:val="single" w:sz="4" w:space="0" w:color="auto"/>
              <w:bottom w:val="nil"/>
              <w:right w:val="single" w:sz="4" w:space="0" w:color="auto"/>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7,040</w:t>
            </w:r>
          </w:p>
        </w:tc>
      </w:tr>
      <w:tr w:rsidR="00AE7E6E" w:rsidRPr="00AE7E6E" w:rsidTr="00AE7E6E">
        <w:tc>
          <w:tcPr>
            <w:tcW w:w="0" w:type="auto"/>
            <w:tcBorders>
              <w:top w:val="nil"/>
              <w:left w:val="single" w:sz="4" w:space="0" w:color="auto"/>
              <w:bottom w:val="nil"/>
              <w:right w:val="nil"/>
            </w:tcBorders>
            <w:shd w:val="clear" w:color="auto" w:fill="auto"/>
            <w:noWrap/>
            <w:vAlign w:val="bottom"/>
            <w:hideMark/>
          </w:tcPr>
          <w:p w:rsidR="00AE7E6E" w:rsidRPr="00AE7E6E" w:rsidRDefault="00AE7E6E" w:rsidP="00AE7E6E">
            <w:pPr>
              <w:spacing w:before="0" w:after="0" w:line="240" w:lineRule="auto"/>
              <w:rPr>
                <w:color w:val="000000"/>
                <w:sz w:val="16"/>
                <w:szCs w:val="16"/>
                <w:lang w:eastAsia="en-NZ"/>
              </w:rPr>
            </w:pPr>
            <w:r w:rsidRPr="00AE7E6E">
              <w:rPr>
                <w:color w:val="000000"/>
                <w:sz w:val="16"/>
                <w:szCs w:val="16"/>
                <w:lang w:eastAsia="en-NZ"/>
              </w:rPr>
              <w:t> </w:t>
            </w:r>
          </w:p>
        </w:tc>
        <w:tc>
          <w:tcPr>
            <w:tcW w:w="0" w:type="auto"/>
            <w:tcBorders>
              <w:top w:val="nil"/>
              <w:left w:val="nil"/>
              <w:bottom w:val="nil"/>
              <w:right w:val="single" w:sz="4" w:space="0" w:color="auto"/>
            </w:tcBorders>
            <w:shd w:val="clear" w:color="auto" w:fill="auto"/>
            <w:noWrap/>
            <w:vAlign w:val="bottom"/>
            <w:hideMark/>
          </w:tcPr>
          <w:p w:rsidR="00AE7E6E" w:rsidRPr="00AE7E6E" w:rsidRDefault="00AE7E6E" w:rsidP="00AE7E6E">
            <w:pPr>
              <w:spacing w:before="0" w:after="0" w:line="240" w:lineRule="auto"/>
              <w:rPr>
                <w:color w:val="000000"/>
                <w:sz w:val="16"/>
                <w:szCs w:val="16"/>
                <w:lang w:eastAsia="en-NZ"/>
              </w:rPr>
            </w:pPr>
            <w:r w:rsidRPr="00AE7E6E">
              <w:rPr>
                <w:color w:val="000000"/>
                <w:sz w:val="16"/>
                <w:szCs w:val="16"/>
                <w:lang w:eastAsia="en-NZ"/>
              </w:rPr>
              <w:t>People residing in these h'holds</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35,240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35,240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34,050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9,610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18,100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20,340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30,600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19,080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2,050</w:t>
            </w:r>
          </w:p>
        </w:tc>
        <w:tc>
          <w:tcPr>
            <w:tcW w:w="0" w:type="auto"/>
            <w:tcBorders>
              <w:top w:val="nil"/>
              <w:left w:val="single" w:sz="4" w:space="0" w:color="auto"/>
              <w:bottom w:val="nil"/>
              <w:right w:val="single" w:sz="4" w:space="0" w:color="auto"/>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35,240</w:t>
            </w:r>
          </w:p>
        </w:tc>
      </w:tr>
      <w:tr w:rsidR="00AE7E6E" w:rsidRPr="00AE7E6E" w:rsidTr="00AE7E6E">
        <w:tc>
          <w:tcPr>
            <w:tcW w:w="0" w:type="auto"/>
            <w:tcBorders>
              <w:top w:val="nil"/>
              <w:left w:val="single" w:sz="4" w:space="0" w:color="auto"/>
              <w:bottom w:val="nil"/>
              <w:right w:val="nil"/>
            </w:tcBorders>
            <w:shd w:val="clear" w:color="auto" w:fill="auto"/>
            <w:noWrap/>
            <w:vAlign w:val="bottom"/>
            <w:hideMark/>
          </w:tcPr>
          <w:p w:rsidR="00AE7E6E" w:rsidRPr="00AE7E6E" w:rsidRDefault="00AE7E6E" w:rsidP="00AE7E6E">
            <w:pPr>
              <w:spacing w:before="0" w:after="0" w:line="240" w:lineRule="auto"/>
              <w:rPr>
                <w:color w:val="000000"/>
                <w:sz w:val="16"/>
                <w:szCs w:val="16"/>
                <w:lang w:eastAsia="en-NZ"/>
              </w:rPr>
            </w:pPr>
            <w:r w:rsidRPr="00AE7E6E">
              <w:rPr>
                <w:color w:val="000000"/>
                <w:sz w:val="16"/>
                <w:szCs w:val="16"/>
                <w:lang w:eastAsia="en-NZ"/>
              </w:rPr>
              <w:t> </w:t>
            </w:r>
          </w:p>
        </w:tc>
        <w:tc>
          <w:tcPr>
            <w:tcW w:w="0" w:type="auto"/>
            <w:tcBorders>
              <w:top w:val="nil"/>
              <w:left w:val="nil"/>
              <w:bottom w:val="nil"/>
              <w:right w:val="single" w:sz="4" w:space="0" w:color="auto"/>
            </w:tcBorders>
            <w:shd w:val="clear" w:color="auto" w:fill="auto"/>
            <w:noWrap/>
            <w:vAlign w:val="bottom"/>
            <w:hideMark/>
          </w:tcPr>
          <w:p w:rsidR="00AE7E6E" w:rsidRPr="00AE7E6E" w:rsidRDefault="00AE7E6E" w:rsidP="00AE7E6E">
            <w:pPr>
              <w:spacing w:before="0" w:after="0" w:line="240" w:lineRule="auto"/>
              <w:rPr>
                <w:color w:val="000000"/>
                <w:sz w:val="16"/>
                <w:szCs w:val="16"/>
                <w:lang w:eastAsia="en-NZ"/>
              </w:rPr>
            </w:pPr>
            <w:r w:rsidRPr="00AE7E6E">
              <w:rPr>
                <w:color w:val="000000"/>
                <w:sz w:val="16"/>
                <w:szCs w:val="16"/>
                <w:lang w:eastAsia="en-NZ"/>
              </w:rPr>
              <w:t>Average h'hold expenditure</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48,900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3,000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7,600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500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5,900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4,500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3,100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5,500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5,900</w:t>
            </w:r>
          </w:p>
        </w:tc>
        <w:tc>
          <w:tcPr>
            <w:tcW w:w="0" w:type="auto"/>
            <w:tcBorders>
              <w:top w:val="nil"/>
              <w:left w:val="single" w:sz="4" w:space="0" w:color="auto"/>
              <w:bottom w:val="nil"/>
              <w:right w:val="single" w:sz="4" w:space="0" w:color="auto"/>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70,700</w:t>
            </w:r>
          </w:p>
        </w:tc>
      </w:tr>
      <w:tr w:rsidR="00AE7E6E" w:rsidRPr="00AE7E6E" w:rsidTr="00AE7E6E">
        <w:tc>
          <w:tcPr>
            <w:tcW w:w="0" w:type="auto"/>
            <w:tcBorders>
              <w:top w:val="nil"/>
              <w:left w:val="single" w:sz="4" w:space="0" w:color="auto"/>
              <w:bottom w:val="single" w:sz="4" w:space="0" w:color="auto"/>
              <w:right w:val="nil"/>
            </w:tcBorders>
            <w:shd w:val="clear" w:color="auto" w:fill="auto"/>
            <w:noWrap/>
            <w:vAlign w:val="bottom"/>
            <w:hideMark/>
          </w:tcPr>
          <w:p w:rsidR="00AE7E6E" w:rsidRPr="00AE7E6E" w:rsidRDefault="00AE7E6E" w:rsidP="00AE7E6E">
            <w:pPr>
              <w:spacing w:before="0" w:after="0" w:line="240" w:lineRule="auto"/>
              <w:rPr>
                <w:color w:val="000000"/>
                <w:sz w:val="16"/>
                <w:szCs w:val="16"/>
                <w:lang w:eastAsia="en-NZ"/>
              </w:rPr>
            </w:pPr>
            <w:r w:rsidRPr="00AE7E6E">
              <w:rPr>
                <w:color w:val="000000"/>
                <w:sz w:val="16"/>
                <w:szCs w:val="16"/>
                <w:lang w:eastAsia="en-NZ"/>
              </w:rPr>
              <w:t> </w:t>
            </w:r>
          </w:p>
        </w:tc>
        <w:tc>
          <w:tcPr>
            <w:tcW w:w="0" w:type="auto"/>
            <w:tcBorders>
              <w:top w:val="nil"/>
              <w:left w:val="nil"/>
              <w:bottom w:val="single" w:sz="4" w:space="0" w:color="auto"/>
              <w:right w:val="single" w:sz="4" w:space="0" w:color="auto"/>
            </w:tcBorders>
            <w:shd w:val="clear" w:color="auto" w:fill="auto"/>
            <w:noWrap/>
            <w:vAlign w:val="bottom"/>
            <w:hideMark/>
          </w:tcPr>
          <w:p w:rsidR="00AE7E6E" w:rsidRPr="00AE7E6E" w:rsidRDefault="00AE7E6E" w:rsidP="00AE7E6E">
            <w:pPr>
              <w:spacing w:before="0" w:after="0" w:line="240" w:lineRule="auto"/>
              <w:rPr>
                <w:color w:val="000000"/>
                <w:sz w:val="16"/>
                <w:szCs w:val="16"/>
                <w:lang w:eastAsia="en-NZ"/>
              </w:rPr>
            </w:pPr>
            <w:r w:rsidRPr="00AE7E6E">
              <w:rPr>
                <w:color w:val="000000"/>
                <w:sz w:val="16"/>
                <w:szCs w:val="16"/>
                <w:lang w:eastAsia="en-NZ"/>
              </w:rPr>
              <w:t>Average per capita expenditure</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9,800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600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1,500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1,100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900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600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1,100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1,300</w:t>
            </w:r>
          </w:p>
        </w:tc>
        <w:tc>
          <w:tcPr>
            <w:tcW w:w="0" w:type="auto"/>
            <w:tcBorders>
              <w:top w:val="nil"/>
              <w:left w:val="single" w:sz="4" w:space="0" w:color="auto"/>
              <w:bottom w:val="nil"/>
              <w:right w:val="single" w:sz="4" w:space="0" w:color="auto"/>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14,100</w:t>
            </w:r>
          </w:p>
        </w:tc>
      </w:tr>
      <w:tr w:rsidR="00AE7E6E" w:rsidRPr="00AE7E6E" w:rsidTr="00AE7E6E">
        <w:tc>
          <w:tcPr>
            <w:tcW w:w="0" w:type="auto"/>
            <w:tcBorders>
              <w:top w:val="nil"/>
              <w:left w:val="single" w:sz="4" w:space="0" w:color="auto"/>
              <w:bottom w:val="nil"/>
              <w:right w:val="nil"/>
            </w:tcBorders>
            <w:shd w:val="clear" w:color="auto" w:fill="auto"/>
            <w:noWrap/>
            <w:vAlign w:val="bottom"/>
            <w:hideMark/>
          </w:tcPr>
          <w:p w:rsidR="00AE7E6E" w:rsidRPr="00AE7E6E" w:rsidRDefault="00AE7E6E" w:rsidP="00AE7E6E">
            <w:pPr>
              <w:spacing w:before="0" w:after="0" w:line="240" w:lineRule="auto"/>
              <w:rPr>
                <w:b/>
                <w:bCs/>
                <w:color w:val="000000"/>
                <w:sz w:val="16"/>
                <w:szCs w:val="16"/>
                <w:lang w:eastAsia="en-NZ"/>
              </w:rPr>
            </w:pPr>
            <w:r w:rsidRPr="00AE7E6E">
              <w:rPr>
                <w:b/>
                <w:bCs/>
                <w:color w:val="000000"/>
                <w:sz w:val="16"/>
                <w:szCs w:val="16"/>
                <w:lang w:eastAsia="en-NZ"/>
              </w:rPr>
              <w:t>Penama</w:t>
            </w:r>
          </w:p>
        </w:tc>
        <w:tc>
          <w:tcPr>
            <w:tcW w:w="0" w:type="auto"/>
            <w:tcBorders>
              <w:top w:val="nil"/>
              <w:left w:val="nil"/>
              <w:bottom w:val="nil"/>
              <w:right w:val="single" w:sz="4" w:space="0" w:color="auto"/>
            </w:tcBorders>
            <w:shd w:val="clear" w:color="auto" w:fill="auto"/>
            <w:noWrap/>
            <w:vAlign w:val="bottom"/>
            <w:hideMark/>
          </w:tcPr>
          <w:p w:rsidR="00AE7E6E" w:rsidRPr="00AE7E6E" w:rsidRDefault="00AE7E6E" w:rsidP="00AE7E6E">
            <w:pPr>
              <w:spacing w:before="0" w:after="0" w:line="240" w:lineRule="auto"/>
              <w:rPr>
                <w:b/>
                <w:bCs/>
                <w:color w:val="000000"/>
                <w:sz w:val="16"/>
                <w:szCs w:val="16"/>
                <w:lang w:eastAsia="en-NZ"/>
              </w:rPr>
            </w:pPr>
            <w:r w:rsidRPr="00AE7E6E">
              <w:rPr>
                <w:b/>
                <w:bCs/>
                <w:color w:val="000000"/>
                <w:sz w:val="16"/>
                <w:szCs w:val="16"/>
                <w:lang w:eastAsia="en-NZ"/>
              </w:rPr>
              <w:t>Total expenditure</w:t>
            </w:r>
          </w:p>
        </w:tc>
        <w:tc>
          <w:tcPr>
            <w:tcW w:w="0" w:type="auto"/>
            <w:tcBorders>
              <w:top w:val="single" w:sz="4" w:space="0" w:color="auto"/>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317,275,300</w:t>
            </w:r>
          </w:p>
        </w:tc>
        <w:tc>
          <w:tcPr>
            <w:tcW w:w="0" w:type="auto"/>
            <w:tcBorders>
              <w:top w:val="single" w:sz="4" w:space="0" w:color="auto"/>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19,844,000</w:t>
            </w:r>
          </w:p>
        </w:tc>
        <w:tc>
          <w:tcPr>
            <w:tcW w:w="0" w:type="auto"/>
            <w:tcBorders>
              <w:top w:val="single" w:sz="4" w:space="0" w:color="auto"/>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53,768,900</w:t>
            </w:r>
          </w:p>
        </w:tc>
        <w:tc>
          <w:tcPr>
            <w:tcW w:w="0" w:type="auto"/>
            <w:tcBorders>
              <w:top w:val="single" w:sz="4" w:space="0" w:color="auto"/>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657,800</w:t>
            </w:r>
          </w:p>
        </w:tc>
        <w:tc>
          <w:tcPr>
            <w:tcW w:w="0" w:type="auto"/>
            <w:tcBorders>
              <w:top w:val="single" w:sz="4" w:space="0" w:color="auto"/>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13,664,300</w:t>
            </w:r>
          </w:p>
        </w:tc>
        <w:tc>
          <w:tcPr>
            <w:tcW w:w="0" w:type="auto"/>
            <w:tcBorders>
              <w:top w:val="single" w:sz="4" w:space="0" w:color="auto"/>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18,812,400</w:t>
            </w:r>
          </w:p>
        </w:tc>
        <w:tc>
          <w:tcPr>
            <w:tcW w:w="0" w:type="auto"/>
            <w:tcBorders>
              <w:top w:val="single" w:sz="4" w:space="0" w:color="auto"/>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24,694,200</w:t>
            </w:r>
          </w:p>
        </w:tc>
        <w:tc>
          <w:tcPr>
            <w:tcW w:w="0" w:type="auto"/>
            <w:tcBorders>
              <w:top w:val="single" w:sz="4" w:space="0" w:color="auto"/>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46,762,100</w:t>
            </w:r>
          </w:p>
        </w:tc>
        <w:tc>
          <w:tcPr>
            <w:tcW w:w="0" w:type="auto"/>
            <w:tcBorders>
              <w:top w:val="single" w:sz="4" w:space="0" w:color="auto"/>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6,560,300</w:t>
            </w:r>
          </w:p>
        </w:tc>
        <w:tc>
          <w:tcPr>
            <w:tcW w:w="0" w:type="auto"/>
            <w:tcBorders>
              <w:top w:val="single" w:sz="4" w:space="0" w:color="auto"/>
              <w:left w:val="single" w:sz="4" w:space="0" w:color="auto"/>
              <w:bottom w:val="nil"/>
              <w:right w:val="single" w:sz="4" w:space="0" w:color="auto"/>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502,039,200</w:t>
            </w:r>
          </w:p>
        </w:tc>
      </w:tr>
      <w:tr w:rsidR="00AE7E6E" w:rsidRPr="00AE7E6E" w:rsidTr="00AE7E6E">
        <w:tc>
          <w:tcPr>
            <w:tcW w:w="0" w:type="auto"/>
            <w:tcBorders>
              <w:top w:val="nil"/>
              <w:left w:val="single" w:sz="4" w:space="0" w:color="auto"/>
              <w:bottom w:val="nil"/>
              <w:right w:val="nil"/>
            </w:tcBorders>
            <w:shd w:val="clear" w:color="auto" w:fill="auto"/>
            <w:noWrap/>
            <w:vAlign w:val="bottom"/>
            <w:hideMark/>
          </w:tcPr>
          <w:p w:rsidR="00AE7E6E" w:rsidRPr="00AE7E6E" w:rsidRDefault="00AE7E6E" w:rsidP="00AE7E6E">
            <w:pPr>
              <w:spacing w:before="0" w:after="0" w:line="240" w:lineRule="auto"/>
              <w:rPr>
                <w:color w:val="000000"/>
                <w:sz w:val="16"/>
                <w:szCs w:val="16"/>
                <w:lang w:eastAsia="en-NZ"/>
              </w:rPr>
            </w:pPr>
            <w:r w:rsidRPr="00AE7E6E">
              <w:rPr>
                <w:color w:val="000000"/>
                <w:sz w:val="16"/>
                <w:szCs w:val="16"/>
                <w:lang w:eastAsia="en-NZ"/>
              </w:rPr>
              <w:t> </w:t>
            </w:r>
          </w:p>
        </w:tc>
        <w:tc>
          <w:tcPr>
            <w:tcW w:w="0" w:type="auto"/>
            <w:tcBorders>
              <w:top w:val="nil"/>
              <w:left w:val="nil"/>
              <w:bottom w:val="nil"/>
              <w:right w:val="single" w:sz="4" w:space="0" w:color="auto"/>
            </w:tcBorders>
            <w:shd w:val="clear" w:color="auto" w:fill="auto"/>
            <w:noWrap/>
            <w:vAlign w:val="bottom"/>
            <w:hideMark/>
          </w:tcPr>
          <w:p w:rsidR="00AE7E6E" w:rsidRPr="00AE7E6E" w:rsidRDefault="00AE7E6E" w:rsidP="00AE7E6E">
            <w:pPr>
              <w:spacing w:before="0" w:after="0" w:line="240" w:lineRule="auto"/>
              <w:rPr>
                <w:color w:val="000000"/>
                <w:sz w:val="16"/>
                <w:szCs w:val="16"/>
                <w:lang w:eastAsia="en-NZ"/>
              </w:rPr>
            </w:pPr>
            <w:r w:rsidRPr="00AE7E6E">
              <w:rPr>
                <w:color w:val="000000"/>
                <w:sz w:val="16"/>
                <w:szCs w:val="16"/>
                <w:lang w:eastAsia="en-NZ"/>
              </w:rPr>
              <w:t>H'holds with expenditure</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6,930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6,930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6,590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1,690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3,900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4,470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6,520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5,440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1,020</w:t>
            </w:r>
          </w:p>
        </w:tc>
        <w:tc>
          <w:tcPr>
            <w:tcW w:w="0" w:type="auto"/>
            <w:tcBorders>
              <w:top w:val="nil"/>
              <w:left w:val="single" w:sz="4" w:space="0" w:color="auto"/>
              <w:bottom w:val="nil"/>
              <w:right w:val="single" w:sz="4" w:space="0" w:color="auto"/>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6,930</w:t>
            </w:r>
          </w:p>
        </w:tc>
      </w:tr>
      <w:tr w:rsidR="00AE7E6E" w:rsidRPr="00AE7E6E" w:rsidTr="00AE7E6E">
        <w:tc>
          <w:tcPr>
            <w:tcW w:w="0" w:type="auto"/>
            <w:tcBorders>
              <w:top w:val="nil"/>
              <w:left w:val="single" w:sz="4" w:space="0" w:color="auto"/>
              <w:bottom w:val="nil"/>
              <w:right w:val="nil"/>
            </w:tcBorders>
            <w:shd w:val="clear" w:color="auto" w:fill="auto"/>
            <w:noWrap/>
            <w:vAlign w:val="bottom"/>
            <w:hideMark/>
          </w:tcPr>
          <w:p w:rsidR="00AE7E6E" w:rsidRPr="00AE7E6E" w:rsidRDefault="00AE7E6E" w:rsidP="00AE7E6E">
            <w:pPr>
              <w:spacing w:before="0" w:after="0" w:line="240" w:lineRule="auto"/>
              <w:rPr>
                <w:color w:val="000000"/>
                <w:sz w:val="16"/>
                <w:szCs w:val="16"/>
                <w:lang w:eastAsia="en-NZ"/>
              </w:rPr>
            </w:pPr>
            <w:r w:rsidRPr="00AE7E6E">
              <w:rPr>
                <w:color w:val="000000"/>
                <w:sz w:val="16"/>
                <w:szCs w:val="16"/>
                <w:lang w:eastAsia="en-NZ"/>
              </w:rPr>
              <w:t> </w:t>
            </w:r>
          </w:p>
        </w:tc>
        <w:tc>
          <w:tcPr>
            <w:tcW w:w="0" w:type="auto"/>
            <w:tcBorders>
              <w:top w:val="nil"/>
              <w:left w:val="nil"/>
              <w:bottom w:val="nil"/>
              <w:right w:val="single" w:sz="4" w:space="0" w:color="auto"/>
            </w:tcBorders>
            <w:shd w:val="clear" w:color="auto" w:fill="auto"/>
            <w:noWrap/>
            <w:vAlign w:val="bottom"/>
            <w:hideMark/>
          </w:tcPr>
          <w:p w:rsidR="00AE7E6E" w:rsidRPr="00AE7E6E" w:rsidRDefault="00AE7E6E" w:rsidP="00AE7E6E">
            <w:pPr>
              <w:spacing w:before="0" w:after="0" w:line="240" w:lineRule="auto"/>
              <w:rPr>
                <w:color w:val="000000"/>
                <w:sz w:val="16"/>
                <w:szCs w:val="16"/>
                <w:lang w:eastAsia="en-NZ"/>
              </w:rPr>
            </w:pPr>
            <w:r w:rsidRPr="00AE7E6E">
              <w:rPr>
                <w:color w:val="000000"/>
                <w:sz w:val="16"/>
                <w:szCs w:val="16"/>
                <w:lang w:eastAsia="en-NZ"/>
              </w:rPr>
              <w:t>People residing in these h'holds</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31,100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31,100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29,920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8,290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18,120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21,190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29,640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24,670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4,690</w:t>
            </w:r>
          </w:p>
        </w:tc>
        <w:tc>
          <w:tcPr>
            <w:tcW w:w="0" w:type="auto"/>
            <w:tcBorders>
              <w:top w:val="nil"/>
              <w:left w:val="single" w:sz="4" w:space="0" w:color="auto"/>
              <w:bottom w:val="nil"/>
              <w:right w:val="single" w:sz="4" w:space="0" w:color="auto"/>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31,100</w:t>
            </w:r>
          </w:p>
        </w:tc>
      </w:tr>
      <w:tr w:rsidR="00AE7E6E" w:rsidRPr="00AE7E6E" w:rsidTr="00AE7E6E">
        <w:tc>
          <w:tcPr>
            <w:tcW w:w="0" w:type="auto"/>
            <w:tcBorders>
              <w:top w:val="nil"/>
              <w:left w:val="single" w:sz="4" w:space="0" w:color="auto"/>
              <w:bottom w:val="nil"/>
              <w:right w:val="nil"/>
            </w:tcBorders>
            <w:shd w:val="clear" w:color="auto" w:fill="auto"/>
            <w:noWrap/>
            <w:vAlign w:val="bottom"/>
            <w:hideMark/>
          </w:tcPr>
          <w:p w:rsidR="00AE7E6E" w:rsidRPr="00AE7E6E" w:rsidRDefault="00AE7E6E" w:rsidP="00AE7E6E">
            <w:pPr>
              <w:spacing w:before="0" w:after="0" w:line="240" w:lineRule="auto"/>
              <w:rPr>
                <w:color w:val="000000"/>
                <w:sz w:val="16"/>
                <w:szCs w:val="16"/>
                <w:lang w:eastAsia="en-NZ"/>
              </w:rPr>
            </w:pPr>
            <w:r w:rsidRPr="00AE7E6E">
              <w:rPr>
                <w:color w:val="000000"/>
                <w:sz w:val="16"/>
                <w:szCs w:val="16"/>
                <w:lang w:eastAsia="en-NZ"/>
              </w:rPr>
              <w:t> </w:t>
            </w:r>
          </w:p>
        </w:tc>
        <w:tc>
          <w:tcPr>
            <w:tcW w:w="0" w:type="auto"/>
            <w:tcBorders>
              <w:top w:val="nil"/>
              <w:left w:val="nil"/>
              <w:bottom w:val="nil"/>
              <w:right w:val="single" w:sz="4" w:space="0" w:color="auto"/>
            </w:tcBorders>
            <w:shd w:val="clear" w:color="auto" w:fill="auto"/>
            <w:noWrap/>
            <w:vAlign w:val="bottom"/>
            <w:hideMark/>
          </w:tcPr>
          <w:p w:rsidR="00AE7E6E" w:rsidRPr="00AE7E6E" w:rsidRDefault="00AE7E6E" w:rsidP="00AE7E6E">
            <w:pPr>
              <w:spacing w:before="0" w:after="0" w:line="240" w:lineRule="auto"/>
              <w:rPr>
                <w:color w:val="000000"/>
                <w:sz w:val="16"/>
                <w:szCs w:val="16"/>
                <w:lang w:eastAsia="en-NZ"/>
              </w:rPr>
            </w:pPr>
            <w:r w:rsidRPr="00AE7E6E">
              <w:rPr>
                <w:color w:val="000000"/>
                <w:sz w:val="16"/>
                <w:szCs w:val="16"/>
                <w:lang w:eastAsia="en-NZ"/>
              </w:rPr>
              <w:t>Average h'hold expenditure</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45,800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2,900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8,200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400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3,500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4,200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3,800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8,600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6,500</w:t>
            </w:r>
          </w:p>
        </w:tc>
        <w:tc>
          <w:tcPr>
            <w:tcW w:w="0" w:type="auto"/>
            <w:tcBorders>
              <w:top w:val="nil"/>
              <w:left w:val="single" w:sz="4" w:space="0" w:color="auto"/>
              <w:bottom w:val="nil"/>
              <w:right w:val="single" w:sz="4" w:space="0" w:color="auto"/>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72,500</w:t>
            </w:r>
          </w:p>
        </w:tc>
      </w:tr>
      <w:tr w:rsidR="00AE7E6E" w:rsidRPr="00AE7E6E" w:rsidTr="00AE7E6E">
        <w:tc>
          <w:tcPr>
            <w:tcW w:w="0" w:type="auto"/>
            <w:tcBorders>
              <w:top w:val="nil"/>
              <w:left w:val="single" w:sz="4" w:space="0" w:color="auto"/>
              <w:bottom w:val="single" w:sz="4" w:space="0" w:color="auto"/>
              <w:right w:val="nil"/>
            </w:tcBorders>
            <w:shd w:val="clear" w:color="auto" w:fill="auto"/>
            <w:noWrap/>
            <w:vAlign w:val="bottom"/>
            <w:hideMark/>
          </w:tcPr>
          <w:p w:rsidR="00AE7E6E" w:rsidRPr="00AE7E6E" w:rsidRDefault="00AE7E6E" w:rsidP="00AE7E6E">
            <w:pPr>
              <w:spacing w:before="0" w:after="0" w:line="240" w:lineRule="auto"/>
              <w:rPr>
                <w:color w:val="000000"/>
                <w:sz w:val="16"/>
                <w:szCs w:val="16"/>
                <w:lang w:eastAsia="en-NZ"/>
              </w:rPr>
            </w:pPr>
            <w:r w:rsidRPr="00AE7E6E">
              <w:rPr>
                <w:color w:val="000000"/>
                <w:sz w:val="16"/>
                <w:szCs w:val="16"/>
                <w:lang w:eastAsia="en-NZ"/>
              </w:rPr>
              <w:t> </w:t>
            </w:r>
          </w:p>
        </w:tc>
        <w:tc>
          <w:tcPr>
            <w:tcW w:w="0" w:type="auto"/>
            <w:tcBorders>
              <w:top w:val="nil"/>
              <w:left w:val="nil"/>
              <w:bottom w:val="single" w:sz="4" w:space="0" w:color="auto"/>
              <w:right w:val="single" w:sz="4" w:space="0" w:color="auto"/>
            </w:tcBorders>
            <w:shd w:val="clear" w:color="auto" w:fill="auto"/>
            <w:noWrap/>
            <w:vAlign w:val="bottom"/>
            <w:hideMark/>
          </w:tcPr>
          <w:p w:rsidR="00AE7E6E" w:rsidRPr="00AE7E6E" w:rsidRDefault="00AE7E6E" w:rsidP="00AE7E6E">
            <w:pPr>
              <w:spacing w:before="0" w:after="0" w:line="240" w:lineRule="auto"/>
              <w:rPr>
                <w:color w:val="000000"/>
                <w:sz w:val="16"/>
                <w:szCs w:val="16"/>
                <w:lang w:eastAsia="en-NZ"/>
              </w:rPr>
            </w:pPr>
            <w:r w:rsidRPr="00AE7E6E">
              <w:rPr>
                <w:color w:val="000000"/>
                <w:sz w:val="16"/>
                <w:szCs w:val="16"/>
                <w:lang w:eastAsia="en-NZ"/>
              </w:rPr>
              <w:t>Average per capita expenditure</w:t>
            </w:r>
          </w:p>
        </w:tc>
        <w:tc>
          <w:tcPr>
            <w:tcW w:w="0" w:type="auto"/>
            <w:tcBorders>
              <w:top w:val="nil"/>
              <w:left w:val="nil"/>
              <w:bottom w:val="single" w:sz="4" w:space="0" w:color="auto"/>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10,200</w:t>
            </w:r>
          </w:p>
        </w:tc>
        <w:tc>
          <w:tcPr>
            <w:tcW w:w="0" w:type="auto"/>
            <w:tcBorders>
              <w:top w:val="nil"/>
              <w:left w:val="nil"/>
              <w:bottom w:val="single" w:sz="4" w:space="0" w:color="auto"/>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600</w:t>
            </w:r>
          </w:p>
        </w:tc>
        <w:tc>
          <w:tcPr>
            <w:tcW w:w="0" w:type="auto"/>
            <w:tcBorders>
              <w:top w:val="nil"/>
              <w:left w:val="nil"/>
              <w:bottom w:val="single" w:sz="4" w:space="0" w:color="auto"/>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1,800</w:t>
            </w:r>
          </w:p>
        </w:tc>
        <w:tc>
          <w:tcPr>
            <w:tcW w:w="0" w:type="auto"/>
            <w:tcBorders>
              <w:top w:val="nil"/>
              <w:left w:val="nil"/>
              <w:bottom w:val="single" w:sz="4" w:space="0" w:color="auto"/>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100</w:t>
            </w:r>
          </w:p>
        </w:tc>
        <w:tc>
          <w:tcPr>
            <w:tcW w:w="0" w:type="auto"/>
            <w:tcBorders>
              <w:top w:val="nil"/>
              <w:left w:val="nil"/>
              <w:bottom w:val="single" w:sz="4" w:space="0" w:color="auto"/>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800</w:t>
            </w:r>
          </w:p>
        </w:tc>
        <w:tc>
          <w:tcPr>
            <w:tcW w:w="0" w:type="auto"/>
            <w:tcBorders>
              <w:top w:val="nil"/>
              <w:left w:val="nil"/>
              <w:bottom w:val="single" w:sz="4" w:space="0" w:color="auto"/>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900</w:t>
            </w:r>
          </w:p>
        </w:tc>
        <w:tc>
          <w:tcPr>
            <w:tcW w:w="0" w:type="auto"/>
            <w:tcBorders>
              <w:top w:val="nil"/>
              <w:left w:val="nil"/>
              <w:bottom w:val="single" w:sz="4" w:space="0" w:color="auto"/>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800</w:t>
            </w:r>
          </w:p>
        </w:tc>
        <w:tc>
          <w:tcPr>
            <w:tcW w:w="0" w:type="auto"/>
            <w:tcBorders>
              <w:top w:val="nil"/>
              <w:left w:val="nil"/>
              <w:bottom w:val="single" w:sz="4" w:space="0" w:color="auto"/>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1,900</w:t>
            </w:r>
          </w:p>
        </w:tc>
        <w:tc>
          <w:tcPr>
            <w:tcW w:w="0" w:type="auto"/>
            <w:tcBorders>
              <w:top w:val="nil"/>
              <w:left w:val="nil"/>
              <w:bottom w:val="single" w:sz="4" w:space="0" w:color="auto"/>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1,400</w:t>
            </w:r>
          </w:p>
        </w:tc>
        <w:tc>
          <w:tcPr>
            <w:tcW w:w="0" w:type="auto"/>
            <w:tcBorders>
              <w:top w:val="nil"/>
              <w:left w:val="single" w:sz="4" w:space="0" w:color="auto"/>
              <w:bottom w:val="nil"/>
              <w:right w:val="single" w:sz="4" w:space="0" w:color="auto"/>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16,100</w:t>
            </w:r>
          </w:p>
        </w:tc>
      </w:tr>
      <w:tr w:rsidR="00AE7E6E" w:rsidRPr="00AE7E6E" w:rsidTr="00AE7E6E">
        <w:tc>
          <w:tcPr>
            <w:tcW w:w="0" w:type="auto"/>
            <w:tcBorders>
              <w:top w:val="nil"/>
              <w:left w:val="single" w:sz="4" w:space="0" w:color="auto"/>
              <w:bottom w:val="nil"/>
              <w:right w:val="nil"/>
            </w:tcBorders>
            <w:shd w:val="clear" w:color="auto" w:fill="auto"/>
            <w:noWrap/>
            <w:vAlign w:val="bottom"/>
            <w:hideMark/>
          </w:tcPr>
          <w:p w:rsidR="00AE7E6E" w:rsidRPr="00AE7E6E" w:rsidRDefault="00AE7E6E" w:rsidP="00AE7E6E">
            <w:pPr>
              <w:spacing w:before="0" w:after="0" w:line="240" w:lineRule="auto"/>
              <w:rPr>
                <w:b/>
                <w:bCs/>
                <w:color w:val="000000"/>
                <w:sz w:val="16"/>
                <w:szCs w:val="16"/>
                <w:lang w:eastAsia="en-NZ"/>
              </w:rPr>
            </w:pPr>
            <w:r w:rsidRPr="00AE7E6E">
              <w:rPr>
                <w:b/>
                <w:bCs/>
                <w:color w:val="000000"/>
                <w:sz w:val="16"/>
                <w:szCs w:val="16"/>
                <w:lang w:eastAsia="en-NZ"/>
              </w:rPr>
              <w:t>Malampa</w:t>
            </w:r>
          </w:p>
        </w:tc>
        <w:tc>
          <w:tcPr>
            <w:tcW w:w="0" w:type="auto"/>
            <w:tcBorders>
              <w:top w:val="nil"/>
              <w:left w:val="nil"/>
              <w:bottom w:val="nil"/>
              <w:right w:val="single" w:sz="4" w:space="0" w:color="auto"/>
            </w:tcBorders>
            <w:shd w:val="clear" w:color="auto" w:fill="auto"/>
            <w:noWrap/>
            <w:vAlign w:val="bottom"/>
            <w:hideMark/>
          </w:tcPr>
          <w:p w:rsidR="00AE7E6E" w:rsidRPr="00AE7E6E" w:rsidRDefault="00AE7E6E" w:rsidP="00AE7E6E">
            <w:pPr>
              <w:spacing w:before="0" w:after="0" w:line="240" w:lineRule="auto"/>
              <w:rPr>
                <w:b/>
                <w:bCs/>
                <w:color w:val="000000"/>
                <w:sz w:val="16"/>
                <w:szCs w:val="16"/>
                <w:lang w:eastAsia="en-NZ"/>
              </w:rPr>
            </w:pPr>
            <w:r w:rsidRPr="00AE7E6E">
              <w:rPr>
                <w:b/>
                <w:bCs/>
                <w:color w:val="000000"/>
                <w:sz w:val="16"/>
                <w:szCs w:val="16"/>
                <w:lang w:eastAsia="en-NZ"/>
              </w:rPr>
              <w:t>Total expenditure</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315,667,000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19,463,500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46,055,600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1,401,800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14,459,500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29,325,100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28,120,900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35,836,800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4,504,000</w:t>
            </w:r>
          </w:p>
        </w:tc>
        <w:tc>
          <w:tcPr>
            <w:tcW w:w="0" w:type="auto"/>
            <w:tcBorders>
              <w:top w:val="single" w:sz="4" w:space="0" w:color="auto"/>
              <w:left w:val="single" w:sz="4" w:space="0" w:color="auto"/>
              <w:bottom w:val="nil"/>
              <w:right w:val="single" w:sz="4" w:space="0" w:color="auto"/>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494,834,400</w:t>
            </w:r>
          </w:p>
        </w:tc>
      </w:tr>
      <w:tr w:rsidR="00AE7E6E" w:rsidRPr="00AE7E6E" w:rsidTr="00AE7E6E">
        <w:tc>
          <w:tcPr>
            <w:tcW w:w="0" w:type="auto"/>
            <w:tcBorders>
              <w:top w:val="nil"/>
              <w:left w:val="single" w:sz="4" w:space="0" w:color="auto"/>
              <w:bottom w:val="nil"/>
              <w:right w:val="nil"/>
            </w:tcBorders>
            <w:shd w:val="clear" w:color="auto" w:fill="auto"/>
            <w:noWrap/>
            <w:vAlign w:val="bottom"/>
            <w:hideMark/>
          </w:tcPr>
          <w:p w:rsidR="00AE7E6E" w:rsidRPr="00AE7E6E" w:rsidRDefault="00AE7E6E" w:rsidP="00AE7E6E">
            <w:pPr>
              <w:spacing w:before="0" w:after="0" w:line="240" w:lineRule="auto"/>
              <w:rPr>
                <w:color w:val="000000"/>
                <w:sz w:val="16"/>
                <w:szCs w:val="16"/>
                <w:lang w:eastAsia="en-NZ"/>
              </w:rPr>
            </w:pPr>
            <w:r w:rsidRPr="00AE7E6E">
              <w:rPr>
                <w:color w:val="000000"/>
                <w:sz w:val="16"/>
                <w:szCs w:val="16"/>
                <w:lang w:eastAsia="en-NZ"/>
              </w:rPr>
              <w:t> </w:t>
            </w:r>
          </w:p>
        </w:tc>
        <w:tc>
          <w:tcPr>
            <w:tcW w:w="0" w:type="auto"/>
            <w:tcBorders>
              <w:top w:val="nil"/>
              <w:left w:val="nil"/>
              <w:bottom w:val="nil"/>
              <w:right w:val="single" w:sz="4" w:space="0" w:color="auto"/>
            </w:tcBorders>
            <w:shd w:val="clear" w:color="auto" w:fill="auto"/>
            <w:noWrap/>
            <w:vAlign w:val="bottom"/>
            <w:hideMark/>
          </w:tcPr>
          <w:p w:rsidR="00AE7E6E" w:rsidRPr="00AE7E6E" w:rsidRDefault="00AE7E6E" w:rsidP="00AE7E6E">
            <w:pPr>
              <w:spacing w:before="0" w:after="0" w:line="240" w:lineRule="auto"/>
              <w:rPr>
                <w:color w:val="000000"/>
                <w:sz w:val="16"/>
                <w:szCs w:val="16"/>
                <w:lang w:eastAsia="en-NZ"/>
              </w:rPr>
            </w:pPr>
            <w:r w:rsidRPr="00AE7E6E">
              <w:rPr>
                <w:color w:val="000000"/>
                <w:sz w:val="16"/>
                <w:szCs w:val="16"/>
                <w:lang w:eastAsia="en-NZ"/>
              </w:rPr>
              <w:t>H'holds with expenditure</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8,680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8,660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8,450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2,600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4,650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5,180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7,810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6,460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900</w:t>
            </w:r>
          </w:p>
        </w:tc>
        <w:tc>
          <w:tcPr>
            <w:tcW w:w="0" w:type="auto"/>
            <w:tcBorders>
              <w:top w:val="nil"/>
              <w:left w:val="single" w:sz="4" w:space="0" w:color="auto"/>
              <w:bottom w:val="nil"/>
              <w:right w:val="single" w:sz="4" w:space="0" w:color="auto"/>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8,680</w:t>
            </w:r>
          </w:p>
        </w:tc>
      </w:tr>
      <w:tr w:rsidR="00AE7E6E" w:rsidRPr="00AE7E6E" w:rsidTr="00AE7E6E">
        <w:tc>
          <w:tcPr>
            <w:tcW w:w="0" w:type="auto"/>
            <w:tcBorders>
              <w:top w:val="nil"/>
              <w:left w:val="single" w:sz="4" w:space="0" w:color="auto"/>
              <w:bottom w:val="nil"/>
              <w:right w:val="nil"/>
            </w:tcBorders>
            <w:shd w:val="clear" w:color="auto" w:fill="auto"/>
            <w:noWrap/>
            <w:vAlign w:val="bottom"/>
            <w:hideMark/>
          </w:tcPr>
          <w:p w:rsidR="00AE7E6E" w:rsidRPr="00AE7E6E" w:rsidRDefault="00AE7E6E" w:rsidP="00AE7E6E">
            <w:pPr>
              <w:spacing w:before="0" w:after="0" w:line="240" w:lineRule="auto"/>
              <w:rPr>
                <w:color w:val="000000"/>
                <w:sz w:val="16"/>
                <w:szCs w:val="16"/>
                <w:lang w:eastAsia="en-NZ"/>
              </w:rPr>
            </w:pPr>
            <w:r w:rsidRPr="00AE7E6E">
              <w:rPr>
                <w:color w:val="000000"/>
                <w:sz w:val="16"/>
                <w:szCs w:val="16"/>
                <w:lang w:eastAsia="en-NZ"/>
              </w:rPr>
              <w:t> </w:t>
            </w:r>
          </w:p>
        </w:tc>
        <w:tc>
          <w:tcPr>
            <w:tcW w:w="0" w:type="auto"/>
            <w:tcBorders>
              <w:top w:val="nil"/>
              <w:left w:val="nil"/>
              <w:bottom w:val="nil"/>
              <w:right w:val="single" w:sz="4" w:space="0" w:color="auto"/>
            </w:tcBorders>
            <w:shd w:val="clear" w:color="auto" w:fill="auto"/>
            <w:noWrap/>
            <w:vAlign w:val="bottom"/>
            <w:hideMark/>
          </w:tcPr>
          <w:p w:rsidR="00AE7E6E" w:rsidRPr="00AE7E6E" w:rsidRDefault="00AE7E6E" w:rsidP="00AE7E6E">
            <w:pPr>
              <w:spacing w:before="0" w:after="0" w:line="240" w:lineRule="auto"/>
              <w:rPr>
                <w:color w:val="000000"/>
                <w:sz w:val="16"/>
                <w:szCs w:val="16"/>
                <w:lang w:eastAsia="en-NZ"/>
              </w:rPr>
            </w:pPr>
            <w:r w:rsidRPr="00AE7E6E">
              <w:rPr>
                <w:color w:val="000000"/>
                <w:sz w:val="16"/>
                <w:szCs w:val="16"/>
                <w:lang w:eastAsia="en-NZ"/>
              </w:rPr>
              <w:t>People residing in these h'holds</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37,600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37,580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37,030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13,090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21,500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23,620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34,890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28,910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4,020</w:t>
            </w:r>
          </w:p>
        </w:tc>
        <w:tc>
          <w:tcPr>
            <w:tcW w:w="0" w:type="auto"/>
            <w:tcBorders>
              <w:top w:val="nil"/>
              <w:left w:val="single" w:sz="4" w:space="0" w:color="auto"/>
              <w:bottom w:val="nil"/>
              <w:right w:val="single" w:sz="4" w:space="0" w:color="auto"/>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37,600</w:t>
            </w:r>
          </w:p>
        </w:tc>
      </w:tr>
      <w:tr w:rsidR="00AE7E6E" w:rsidRPr="00AE7E6E" w:rsidTr="00AE7E6E">
        <w:tc>
          <w:tcPr>
            <w:tcW w:w="0" w:type="auto"/>
            <w:tcBorders>
              <w:top w:val="nil"/>
              <w:left w:val="single" w:sz="4" w:space="0" w:color="auto"/>
              <w:bottom w:val="nil"/>
              <w:right w:val="nil"/>
            </w:tcBorders>
            <w:shd w:val="clear" w:color="auto" w:fill="auto"/>
            <w:noWrap/>
            <w:vAlign w:val="bottom"/>
            <w:hideMark/>
          </w:tcPr>
          <w:p w:rsidR="00AE7E6E" w:rsidRPr="00AE7E6E" w:rsidRDefault="00AE7E6E" w:rsidP="00AE7E6E">
            <w:pPr>
              <w:spacing w:before="0" w:after="0" w:line="240" w:lineRule="auto"/>
              <w:rPr>
                <w:color w:val="000000"/>
                <w:sz w:val="16"/>
                <w:szCs w:val="16"/>
                <w:lang w:eastAsia="en-NZ"/>
              </w:rPr>
            </w:pPr>
            <w:r w:rsidRPr="00AE7E6E">
              <w:rPr>
                <w:color w:val="000000"/>
                <w:sz w:val="16"/>
                <w:szCs w:val="16"/>
                <w:lang w:eastAsia="en-NZ"/>
              </w:rPr>
              <w:t> </w:t>
            </w:r>
          </w:p>
        </w:tc>
        <w:tc>
          <w:tcPr>
            <w:tcW w:w="0" w:type="auto"/>
            <w:tcBorders>
              <w:top w:val="nil"/>
              <w:left w:val="nil"/>
              <w:bottom w:val="nil"/>
              <w:right w:val="single" w:sz="4" w:space="0" w:color="auto"/>
            </w:tcBorders>
            <w:shd w:val="clear" w:color="auto" w:fill="auto"/>
            <w:noWrap/>
            <w:vAlign w:val="bottom"/>
            <w:hideMark/>
          </w:tcPr>
          <w:p w:rsidR="00AE7E6E" w:rsidRPr="00AE7E6E" w:rsidRDefault="00AE7E6E" w:rsidP="00AE7E6E">
            <w:pPr>
              <w:spacing w:before="0" w:after="0" w:line="240" w:lineRule="auto"/>
              <w:rPr>
                <w:color w:val="000000"/>
                <w:sz w:val="16"/>
                <w:szCs w:val="16"/>
                <w:lang w:eastAsia="en-NZ"/>
              </w:rPr>
            </w:pPr>
            <w:r w:rsidRPr="00AE7E6E">
              <w:rPr>
                <w:color w:val="000000"/>
                <w:sz w:val="16"/>
                <w:szCs w:val="16"/>
                <w:lang w:eastAsia="en-NZ"/>
              </w:rPr>
              <w:t>Average h'hold expenditure</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36,400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2,200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5,400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500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3,100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5,700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3,600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5,500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5,000</w:t>
            </w:r>
          </w:p>
        </w:tc>
        <w:tc>
          <w:tcPr>
            <w:tcW w:w="0" w:type="auto"/>
            <w:tcBorders>
              <w:top w:val="nil"/>
              <w:left w:val="single" w:sz="4" w:space="0" w:color="auto"/>
              <w:bottom w:val="nil"/>
              <w:right w:val="single" w:sz="4" w:space="0" w:color="auto"/>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57,000</w:t>
            </w:r>
          </w:p>
        </w:tc>
      </w:tr>
      <w:tr w:rsidR="00AE7E6E" w:rsidRPr="00AE7E6E" w:rsidTr="00AE7E6E">
        <w:tc>
          <w:tcPr>
            <w:tcW w:w="0" w:type="auto"/>
            <w:tcBorders>
              <w:top w:val="nil"/>
              <w:left w:val="single" w:sz="4" w:space="0" w:color="auto"/>
              <w:bottom w:val="single" w:sz="4" w:space="0" w:color="auto"/>
              <w:right w:val="nil"/>
            </w:tcBorders>
            <w:shd w:val="clear" w:color="auto" w:fill="auto"/>
            <w:noWrap/>
            <w:vAlign w:val="bottom"/>
            <w:hideMark/>
          </w:tcPr>
          <w:p w:rsidR="00AE7E6E" w:rsidRPr="00AE7E6E" w:rsidRDefault="00AE7E6E" w:rsidP="00AE7E6E">
            <w:pPr>
              <w:spacing w:before="0" w:after="0" w:line="240" w:lineRule="auto"/>
              <w:rPr>
                <w:color w:val="000000"/>
                <w:sz w:val="16"/>
                <w:szCs w:val="16"/>
                <w:lang w:eastAsia="en-NZ"/>
              </w:rPr>
            </w:pPr>
            <w:r w:rsidRPr="00AE7E6E">
              <w:rPr>
                <w:color w:val="000000"/>
                <w:sz w:val="16"/>
                <w:szCs w:val="16"/>
                <w:lang w:eastAsia="en-NZ"/>
              </w:rPr>
              <w:t> </w:t>
            </w:r>
          </w:p>
        </w:tc>
        <w:tc>
          <w:tcPr>
            <w:tcW w:w="0" w:type="auto"/>
            <w:tcBorders>
              <w:top w:val="nil"/>
              <w:left w:val="nil"/>
              <w:bottom w:val="single" w:sz="4" w:space="0" w:color="auto"/>
              <w:right w:val="single" w:sz="4" w:space="0" w:color="auto"/>
            </w:tcBorders>
            <w:shd w:val="clear" w:color="auto" w:fill="auto"/>
            <w:noWrap/>
            <w:vAlign w:val="bottom"/>
            <w:hideMark/>
          </w:tcPr>
          <w:p w:rsidR="00AE7E6E" w:rsidRPr="00AE7E6E" w:rsidRDefault="00AE7E6E" w:rsidP="00AE7E6E">
            <w:pPr>
              <w:spacing w:before="0" w:after="0" w:line="240" w:lineRule="auto"/>
              <w:rPr>
                <w:color w:val="000000"/>
                <w:sz w:val="16"/>
                <w:szCs w:val="16"/>
                <w:lang w:eastAsia="en-NZ"/>
              </w:rPr>
            </w:pPr>
            <w:r w:rsidRPr="00AE7E6E">
              <w:rPr>
                <w:color w:val="000000"/>
                <w:sz w:val="16"/>
                <w:szCs w:val="16"/>
                <w:lang w:eastAsia="en-NZ"/>
              </w:rPr>
              <w:t>Average per capita expenditure</w:t>
            </w:r>
          </w:p>
        </w:tc>
        <w:tc>
          <w:tcPr>
            <w:tcW w:w="0" w:type="auto"/>
            <w:tcBorders>
              <w:top w:val="nil"/>
              <w:left w:val="nil"/>
              <w:bottom w:val="single" w:sz="4" w:space="0" w:color="auto"/>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8,400</w:t>
            </w:r>
          </w:p>
        </w:tc>
        <w:tc>
          <w:tcPr>
            <w:tcW w:w="0" w:type="auto"/>
            <w:tcBorders>
              <w:top w:val="nil"/>
              <w:left w:val="nil"/>
              <w:bottom w:val="single" w:sz="4" w:space="0" w:color="auto"/>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500</w:t>
            </w:r>
          </w:p>
        </w:tc>
        <w:tc>
          <w:tcPr>
            <w:tcW w:w="0" w:type="auto"/>
            <w:tcBorders>
              <w:top w:val="nil"/>
              <w:left w:val="nil"/>
              <w:bottom w:val="single" w:sz="4" w:space="0" w:color="auto"/>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1,200</w:t>
            </w:r>
          </w:p>
        </w:tc>
        <w:tc>
          <w:tcPr>
            <w:tcW w:w="0" w:type="auto"/>
            <w:tcBorders>
              <w:top w:val="nil"/>
              <w:left w:val="nil"/>
              <w:bottom w:val="single" w:sz="4" w:space="0" w:color="auto"/>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100</w:t>
            </w:r>
          </w:p>
        </w:tc>
        <w:tc>
          <w:tcPr>
            <w:tcW w:w="0" w:type="auto"/>
            <w:tcBorders>
              <w:top w:val="nil"/>
              <w:left w:val="nil"/>
              <w:bottom w:val="single" w:sz="4" w:space="0" w:color="auto"/>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700</w:t>
            </w:r>
          </w:p>
        </w:tc>
        <w:tc>
          <w:tcPr>
            <w:tcW w:w="0" w:type="auto"/>
            <w:tcBorders>
              <w:top w:val="nil"/>
              <w:left w:val="nil"/>
              <w:bottom w:val="single" w:sz="4" w:space="0" w:color="auto"/>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1,200</w:t>
            </w:r>
          </w:p>
        </w:tc>
        <w:tc>
          <w:tcPr>
            <w:tcW w:w="0" w:type="auto"/>
            <w:tcBorders>
              <w:top w:val="nil"/>
              <w:left w:val="nil"/>
              <w:bottom w:val="single" w:sz="4" w:space="0" w:color="auto"/>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800</w:t>
            </w:r>
          </w:p>
        </w:tc>
        <w:tc>
          <w:tcPr>
            <w:tcW w:w="0" w:type="auto"/>
            <w:tcBorders>
              <w:top w:val="nil"/>
              <w:left w:val="nil"/>
              <w:bottom w:val="single" w:sz="4" w:space="0" w:color="auto"/>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1,200</w:t>
            </w:r>
          </w:p>
        </w:tc>
        <w:tc>
          <w:tcPr>
            <w:tcW w:w="0" w:type="auto"/>
            <w:tcBorders>
              <w:top w:val="nil"/>
              <w:left w:val="nil"/>
              <w:bottom w:val="single" w:sz="4" w:space="0" w:color="auto"/>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1,100</w:t>
            </w:r>
          </w:p>
        </w:tc>
        <w:tc>
          <w:tcPr>
            <w:tcW w:w="0" w:type="auto"/>
            <w:tcBorders>
              <w:top w:val="nil"/>
              <w:left w:val="single" w:sz="4" w:space="0" w:color="auto"/>
              <w:bottom w:val="nil"/>
              <w:right w:val="single" w:sz="4" w:space="0" w:color="auto"/>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13,200</w:t>
            </w:r>
          </w:p>
        </w:tc>
      </w:tr>
      <w:tr w:rsidR="00AE7E6E" w:rsidRPr="00AE7E6E" w:rsidTr="00AE7E6E">
        <w:tc>
          <w:tcPr>
            <w:tcW w:w="0" w:type="auto"/>
            <w:tcBorders>
              <w:top w:val="nil"/>
              <w:left w:val="single" w:sz="4" w:space="0" w:color="auto"/>
              <w:bottom w:val="nil"/>
              <w:right w:val="nil"/>
            </w:tcBorders>
            <w:shd w:val="clear" w:color="auto" w:fill="auto"/>
            <w:noWrap/>
            <w:vAlign w:val="bottom"/>
            <w:hideMark/>
          </w:tcPr>
          <w:p w:rsidR="00AE7E6E" w:rsidRPr="00AE7E6E" w:rsidRDefault="00AE7E6E" w:rsidP="00AE7E6E">
            <w:pPr>
              <w:spacing w:before="0" w:after="0" w:line="240" w:lineRule="auto"/>
              <w:rPr>
                <w:b/>
                <w:bCs/>
                <w:color w:val="000000"/>
                <w:sz w:val="16"/>
                <w:szCs w:val="16"/>
                <w:lang w:eastAsia="en-NZ"/>
              </w:rPr>
            </w:pPr>
            <w:r w:rsidRPr="00AE7E6E">
              <w:rPr>
                <w:b/>
                <w:bCs/>
                <w:color w:val="000000"/>
                <w:sz w:val="16"/>
                <w:szCs w:val="16"/>
                <w:lang w:eastAsia="en-NZ"/>
              </w:rPr>
              <w:t>Shefa</w:t>
            </w:r>
          </w:p>
        </w:tc>
        <w:tc>
          <w:tcPr>
            <w:tcW w:w="0" w:type="auto"/>
            <w:tcBorders>
              <w:top w:val="nil"/>
              <w:left w:val="nil"/>
              <w:bottom w:val="nil"/>
              <w:right w:val="single" w:sz="4" w:space="0" w:color="auto"/>
            </w:tcBorders>
            <w:shd w:val="clear" w:color="auto" w:fill="auto"/>
            <w:noWrap/>
            <w:vAlign w:val="bottom"/>
            <w:hideMark/>
          </w:tcPr>
          <w:p w:rsidR="00AE7E6E" w:rsidRPr="00AE7E6E" w:rsidRDefault="00AE7E6E" w:rsidP="00AE7E6E">
            <w:pPr>
              <w:spacing w:before="0" w:after="0" w:line="240" w:lineRule="auto"/>
              <w:rPr>
                <w:b/>
                <w:bCs/>
                <w:color w:val="000000"/>
                <w:sz w:val="16"/>
                <w:szCs w:val="16"/>
                <w:lang w:eastAsia="en-NZ"/>
              </w:rPr>
            </w:pPr>
            <w:r w:rsidRPr="00AE7E6E">
              <w:rPr>
                <w:b/>
                <w:bCs/>
                <w:color w:val="000000"/>
                <w:sz w:val="16"/>
                <w:szCs w:val="16"/>
                <w:lang w:eastAsia="en-NZ"/>
              </w:rPr>
              <w:t>Total expenditure</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305,640,100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46,932,500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83,024,200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2,146,100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41,396,500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26,401,300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47,846,700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42,030,600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5,005,200</w:t>
            </w:r>
          </w:p>
        </w:tc>
        <w:tc>
          <w:tcPr>
            <w:tcW w:w="0" w:type="auto"/>
            <w:tcBorders>
              <w:top w:val="single" w:sz="4" w:space="0" w:color="auto"/>
              <w:left w:val="single" w:sz="4" w:space="0" w:color="auto"/>
              <w:bottom w:val="nil"/>
              <w:right w:val="single" w:sz="4" w:space="0" w:color="auto"/>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600,423,300</w:t>
            </w:r>
          </w:p>
        </w:tc>
      </w:tr>
      <w:tr w:rsidR="00AE7E6E" w:rsidRPr="00AE7E6E" w:rsidTr="00AE7E6E">
        <w:tc>
          <w:tcPr>
            <w:tcW w:w="0" w:type="auto"/>
            <w:tcBorders>
              <w:top w:val="nil"/>
              <w:left w:val="single" w:sz="4" w:space="0" w:color="auto"/>
              <w:bottom w:val="nil"/>
              <w:right w:val="nil"/>
            </w:tcBorders>
            <w:shd w:val="clear" w:color="auto" w:fill="auto"/>
            <w:noWrap/>
            <w:vAlign w:val="bottom"/>
            <w:hideMark/>
          </w:tcPr>
          <w:p w:rsidR="00AE7E6E" w:rsidRPr="00AE7E6E" w:rsidRDefault="00AE7E6E" w:rsidP="00AE7E6E">
            <w:pPr>
              <w:spacing w:before="0" w:after="0" w:line="240" w:lineRule="auto"/>
              <w:rPr>
                <w:b/>
                <w:bCs/>
                <w:color w:val="000000"/>
                <w:sz w:val="16"/>
                <w:szCs w:val="16"/>
                <w:lang w:eastAsia="en-NZ"/>
              </w:rPr>
            </w:pPr>
            <w:r w:rsidRPr="00AE7E6E">
              <w:rPr>
                <w:b/>
                <w:bCs/>
                <w:color w:val="000000"/>
                <w:sz w:val="16"/>
                <w:szCs w:val="16"/>
                <w:lang w:eastAsia="en-NZ"/>
              </w:rPr>
              <w:t>(rural)</w:t>
            </w:r>
          </w:p>
        </w:tc>
        <w:tc>
          <w:tcPr>
            <w:tcW w:w="0" w:type="auto"/>
            <w:tcBorders>
              <w:top w:val="nil"/>
              <w:left w:val="nil"/>
              <w:bottom w:val="nil"/>
              <w:right w:val="single" w:sz="4" w:space="0" w:color="auto"/>
            </w:tcBorders>
            <w:shd w:val="clear" w:color="auto" w:fill="auto"/>
            <w:noWrap/>
            <w:vAlign w:val="bottom"/>
            <w:hideMark/>
          </w:tcPr>
          <w:p w:rsidR="00AE7E6E" w:rsidRPr="00AE7E6E" w:rsidRDefault="00AE7E6E" w:rsidP="00AE7E6E">
            <w:pPr>
              <w:spacing w:before="0" w:after="0" w:line="240" w:lineRule="auto"/>
              <w:rPr>
                <w:color w:val="000000"/>
                <w:sz w:val="16"/>
                <w:szCs w:val="16"/>
                <w:lang w:eastAsia="en-NZ"/>
              </w:rPr>
            </w:pPr>
            <w:r w:rsidRPr="00AE7E6E">
              <w:rPr>
                <w:color w:val="000000"/>
                <w:sz w:val="16"/>
                <w:szCs w:val="16"/>
                <w:lang w:eastAsia="en-NZ"/>
              </w:rPr>
              <w:t>H'holds with expenditure</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6,960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6,920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6,400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1,770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4,150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3,190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6,520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5,490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690</w:t>
            </w:r>
          </w:p>
        </w:tc>
        <w:tc>
          <w:tcPr>
            <w:tcW w:w="0" w:type="auto"/>
            <w:tcBorders>
              <w:top w:val="nil"/>
              <w:left w:val="single" w:sz="4" w:space="0" w:color="auto"/>
              <w:bottom w:val="nil"/>
              <w:right w:val="single" w:sz="4" w:space="0" w:color="auto"/>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6,960</w:t>
            </w:r>
          </w:p>
        </w:tc>
      </w:tr>
      <w:tr w:rsidR="00AE7E6E" w:rsidRPr="00AE7E6E" w:rsidTr="00AE7E6E">
        <w:tc>
          <w:tcPr>
            <w:tcW w:w="0" w:type="auto"/>
            <w:tcBorders>
              <w:top w:val="nil"/>
              <w:left w:val="single" w:sz="4" w:space="0" w:color="auto"/>
              <w:bottom w:val="nil"/>
              <w:right w:val="nil"/>
            </w:tcBorders>
            <w:shd w:val="clear" w:color="auto" w:fill="auto"/>
            <w:noWrap/>
            <w:vAlign w:val="bottom"/>
            <w:hideMark/>
          </w:tcPr>
          <w:p w:rsidR="00AE7E6E" w:rsidRPr="00AE7E6E" w:rsidRDefault="00AE7E6E" w:rsidP="00AE7E6E">
            <w:pPr>
              <w:spacing w:before="0" w:after="0" w:line="240" w:lineRule="auto"/>
              <w:rPr>
                <w:color w:val="000000"/>
                <w:sz w:val="16"/>
                <w:szCs w:val="16"/>
                <w:lang w:eastAsia="en-NZ"/>
              </w:rPr>
            </w:pPr>
            <w:r w:rsidRPr="00AE7E6E">
              <w:rPr>
                <w:color w:val="000000"/>
                <w:sz w:val="16"/>
                <w:szCs w:val="16"/>
                <w:lang w:eastAsia="en-NZ"/>
              </w:rPr>
              <w:t> </w:t>
            </w:r>
          </w:p>
        </w:tc>
        <w:tc>
          <w:tcPr>
            <w:tcW w:w="0" w:type="auto"/>
            <w:tcBorders>
              <w:top w:val="nil"/>
              <w:left w:val="nil"/>
              <w:bottom w:val="nil"/>
              <w:right w:val="single" w:sz="4" w:space="0" w:color="auto"/>
            </w:tcBorders>
            <w:shd w:val="clear" w:color="auto" w:fill="auto"/>
            <w:noWrap/>
            <w:vAlign w:val="bottom"/>
            <w:hideMark/>
          </w:tcPr>
          <w:p w:rsidR="00AE7E6E" w:rsidRPr="00AE7E6E" w:rsidRDefault="00AE7E6E" w:rsidP="00AE7E6E">
            <w:pPr>
              <w:spacing w:before="0" w:after="0" w:line="240" w:lineRule="auto"/>
              <w:rPr>
                <w:color w:val="000000"/>
                <w:sz w:val="16"/>
                <w:szCs w:val="16"/>
                <w:lang w:eastAsia="en-NZ"/>
              </w:rPr>
            </w:pPr>
            <w:r w:rsidRPr="00AE7E6E">
              <w:rPr>
                <w:color w:val="000000"/>
                <w:sz w:val="16"/>
                <w:szCs w:val="16"/>
                <w:lang w:eastAsia="en-NZ"/>
              </w:rPr>
              <w:t>People residing in these h'holds</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37,280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36,980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34,760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11,590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23,170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18,880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35,010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29,650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3,800</w:t>
            </w:r>
          </w:p>
        </w:tc>
        <w:tc>
          <w:tcPr>
            <w:tcW w:w="0" w:type="auto"/>
            <w:tcBorders>
              <w:top w:val="nil"/>
              <w:left w:val="single" w:sz="4" w:space="0" w:color="auto"/>
              <w:bottom w:val="nil"/>
              <w:right w:val="single" w:sz="4" w:space="0" w:color="auto"/>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37,280</w:t>
            </w:r>
          </w:p>
        </w:tc>
      </w:tr>
      <w:tr w:rsidR="00AE7E6E" w:rsidRPr="00AE7E6E" w:rsidTr="00AE7E6E">
        <w:tc>
          <w:tcPr>
            <w:tcW w:w="0" w:type="auto"/>
            <w:tcBorders>
              <w:top w:val="nil"/>
              <w:left w:val="single" w:sz="4" w:space="0" w:color="auto"/>
              <w:bottom w:val="nil"/>
              <w:right w:val="nil"/>
            </w:tcBorders>
            <w:shd w:val="clear" w:color="auto" w:fill="auto"/>
            <w:noWrap/>
            <w:vAlign w:val="bottom"/>
            <w:hideMark/>
          </w:tcPr>
          <w:p w:rsidR="00AE7E6E" w:rsidRPr="00AE7E6E" w:rsidRDefault="00AE7E6E" w:rsidP="00AE7E6E">
            <w:pPr>
              <w:spacing w:before="0" w:after="0" w:line="240" w:lineRule="auto"/>
              <w:rPr>
                <w:color w:val="000000"/>
                <w:sz w:val="16"/>
                <w:szCs w:val="16"/>
                <w:lang w:eastAsia="en-NZ"/>
              </w:rPr>
            </w:pPr>
            <w:r w:rsidRPr="00AE7E6E">
              <w:rPr>
                <w:color w:val="000000"/>
                <w:sz w:val="16"/>
                <w:szCs w:val="16"/>
                <w:lang w:eastAsia="en-NZ"/>
              </w:rPr>
              <w:t> </w:t>
            </w:r>
          </w:p>
        </w:tc>
        <w:tc>
          <w:tcPr>
            <w:tcW w:w="0" w:type="auto"/>
            <w:tcBorders>
              <w:top w:val="nil"/>
              <w:left w:val="nil"/>
              <w:bottom w:val="nil"/>
              <w:right w:val="single" w:sz="4" w:space="0" w:color="auto"/>
            </w:tcBorders>
            <w:shd w:val="clear" w:color="auto" w:fill="auto"/>
            <w:noWrap/>
            <w:vAlign w:val="bottom"/>
            <w:hideMark/>
          </w:tcPr>
          <w:p w:rsidR="00AE7E6E" w:rsidRPr="00AE7E6E" w:rsidRDefault="00AE7E6E" w:rsidP="00AE7E6E">
            <w:pPr>
              <w:spacing w:before="0" w:after="0" w:line="240" w:lineRule="auto"/>
              <w:rPr>
                <w:color w:val="000000"/>
                <w:sz w:val="16"/>
                <w:szCs w:val="16"/>
                <w:lang w:eastAsia="en-NZ"/>
              </w:rPr>
            </w:pPr>
            <w:r w:rsidRPr="00AE7E6E">
              <w:rPr>
                <w:color w:val="000000"/>
                <w:sz w:val="16"/>
                <w:szCs w:val="16"/>
                <w:lang w:eastAsia="en-NZ"/>
              </w:rPr>
              <w:t>Average h'hold expenditure</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43,900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6,800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13,000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1,200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10,000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8,300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7,300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7,700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7,200</w:t>
            </w:r>
          </w:p>
        </w:tc>
        <w:tc>
          <w:tcPr>
            <w:tcW w:w="0" w:type="auto"/>
            <w:tcBorders>
              <w:top w:val="nil"/>
              <w:left w:val="single" w:sz="4" w:space="0" w:color="auto"/>
              <w:bottom w:val="nil"/>
              <w:right w:val="single" w:sz="4" w:space="0" w:color="auto"/>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86,300</w:t>
            </w:r>
          </w:p>
        </w:tc>
      </w:tr>
      <w:tr w:rsidR="00AE7E6E" w:rsidRPr="00AE7E6E" w:rsidTr="00AE7E6E">
        <w:tc>
          <w:tcPr>
            <w:tcW w:w="0" w:type="auto"/>
            <w:tcBorders>
              <w:top w:val="nil"/>
              <w:left w:val="single" w:sz="4" w:space="0" w:color="auto"/>
              <w:bottom w:val="single" w:sz="4" w:space="0" w:color="auto"/>
              <w:right w:val="nil"/>
            </w:tcBorders>
            <w:shd w:val="clear" w:color="auto" w:fill="auto"/>
            <w:noWrap/>
            <w:vAlign w:val="bottom"/>
            <w:hideMark/>
          </w:tcPr>
          <w:p w:rsidR="00AE7E6E" w:rsidRPr="00AE7E6E" w:rsidRDefault="00AE7E6E" w:rsidP="00AE7E6E">
            <w:pPr>
              <w:spacing w:before="0" w:after="0" w:line="240" w:lineRule="auto"/>
              <w:rPr>
                <w:color w:val="000000"/>
                <w:sz w:val="16"/>
                <w:szCs w:val="16"/>
                <w:lang w:eastAsia="en-NZ"/>
              </w:rPr>
            </w:pPr>
            <w:r w:rsidRPr="00AE7E6E">
              <w:rPr>
                <w:color w:val="000000"/>
                <w:sz w:val="16"/>
                <w:szCs w:val="16"/>
                <w:lang w:eastAsia="en-NZ"/>
              </w:rPr>
              <w:t> </w:t>
            </w:r>
          </w:p>
        </w:tc>
        <w:tc>
          <w:tcPr>
            <w:tcW w:w="0" w:type="auto"/>
            <w:tcBorders>
              <w:top w:val="nil"/>
              <w:left w:val="nil"/>
              <w:bottom w:val="single" w:sz="4" w:space="0" w:color="auto"/>
              <w:right w:val="single" w:sz="4" w:space="0" w:color="auto"/>
            </w:tcBorders>
            <w:shd w:val="clear" w:color="auto" w:fill="auto"/>
            <w:noWrap/>
            <w:vAlign w:val="bottom"/>
            <w:hideMark/>
          </w:tcPr>
          <w:p w:rsidR="00AE7E6E" w:rsidRPr="00AE7E6E" w:rsidRDefault="00AE7E6E" w:rsidP="00AE7E6E">
            <w:pPr>
              <w:spacing w:before="0" w:after="0" w:line="240" w:lineRule="auto"/>
              <w:rPr>
                <w:color w:val="000000"/>
                <w:sz w:val="16"/>
                <w:szCs w:val="16"/>
                <w:lang w:eastAsia="en-NZ"/>
              </w:rPr>
            </w:pPr>
            <w:r w:rsidRPr="00AE7E6E">
              <w:rPr>
                <w:color w:val="000000"/>
                <w:sz w:val="16"/>
                <w:szCs w:val="16"/>
                <w:lang w:eastAsia="en-NZ"/>
              </w:rPr>
              <w:t>Average per capita expenditure</w:t>
            </w:r>
          </w:p>
        </w:tc>
        <w:tc>
          <w:tcPr>
            <w:tcW w:w="0" w:type="auto"/>
            <w:tcBorders>
              <w:top w:val="nil"/>
              <w:left w:val="nil"/>
              <w:bottom w:val="single" w:sz="4" w:space="0" w:color="auto"/>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8,200</w:t>
            </w:r>
          </w:p>
        </w:tc>
        <w:tc>
          <w:tcPr>
            <w:tcW w:w="0" w:type="auto"/>
            <w:tcBorders>
              <w:top w:val="nil"/>
              <w:left w:val="nil"/>
              <w:bottom w:val="single" w:sz="4" w:space="0" w:color="auto"/>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1,300</w:t>
            </w:r>
          </w:p>
        </w:tc>
        <w:tc>
          <w:tcPr>
            <w:tcW w:w="0" w:type="auto"/>
            <w:tcBorders>
              <w:top w:val="nil"/>
              <w:left w:val="nil"/>
              <w:bottom w:val="single" w:sz="4" w:space="0" w:color="auto"/>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2,400</w:t>
            </w:r>
          </w:p>
        </w:tc>
        <w:tc>
          <w:tcPr>
            <w:tcW w:w="0" w:type="auto"/>
            <w:tcBorders>
              <w:top w:val="nil"/>
              <w:left w:val="nil"/>
              <w:bottom w:val="single" w:sz="4" w:space="0" w:color="auto"/>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200</w:t>
            </w:r>
          </w:p>
        </w:tc>
        <w:tc>
          <w:tcPr>
            <w:tcW w:w="0" w:type="auto"/>
            <w:tcBorders>
              <w:top w:val="nil"/>
              <w:left w:val="nil"/>
              <w:bottom w:val="single" w:sz="4" w:space="0" w:color="auto"/>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1,800</w:t>
            </w:r>
          </w:p>
        </w:tc>
        <w:tc>
          <w:tcPr>
            <w:tcW w:w="0" w:type="auto"/>
            <w:tcBorders>
              <w:top w:val="nil"/>
              <w:left w:val="nil"/>
              <w:bottom w:val="single" w:sz="4" w:space="0" w:color="auto"/>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1,400</w:t>
            </w:r>
          </w:p>
        </w:tc>
        <w:tc>
          <w:tcPr>
            <w:tcW w:w="0" w:type="auto"/>
            <w:tcBorders>
              <w:top w:val="nil"/>
              <w:left w:val="nil"/>
              <w:bottom w:val="single" w:sz="4" w:space="0" w:color="auto"/>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1,400</w:t>
            </w:r>
          </w:p>
        </w:tc>
        <w:tc>
          <w:tcPr>
            <w:tcW w:w="0" w:type="auto"/>
            <w:tcBorders>
              <w:top w:val="nil"/>
              <w:left w:val="nil"/>
              <w:bottom w:val="single" w:sz="4" w:space="0" w:color="auto"/>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1,400</w:t>
            </w:r>
          </w:p>
        </w:tc>
        <w:tc>
          <w:tcPr>
            <w:tcW w:w="0" w:type="auto"/>
            <w:tcBorders>
              <w:top w:val="nil"/>
              <w:left w:val="nil"/>
              <w:bottom w:val="single" w:sz="4" w:space="0" w:color="auto"/>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1,300</w:t>
            </w:r>
          </w:p>
        </w:tc>
        <w:tc>
          <w:tcPr>
            <w:tcW w:w="0" w:type="auto"/>
            <w:tcBorders>
              <w:top w:val="nil"/>
              <w:left w:val="single" w:sz="4" w:space="0" w:color="auto"/>
              <w:bottom w:val="nil"/>
              <w:right w:val="single" w:sz="4" w:space="0" w:color="auto"/>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16,100</w:t>
            </w:r>
          </w:p>
        </w:tc>
      </w:tr>
      <w:tr w:rsidR="00AE7E6E" w:rsidRPr="00AE7E6E" w:rsidTr="00AE7E6E">
        <w:tc>
          <w:tcPr>
            <w:tcW w:w="0" w:type="auto"/>
            <w:tcBorders>
              <w:top w:val="nil"/>
              <w:left w:val="single" w:sz="4" w:space="0" w:color="auto"/>
              <w:bottom w:val="nil"/>
              <w:right w:val="nil"/>
            </w:tcBorders>
            <w:shd w:val="clear" w:color="auto" w:fill="auto"/>
            <w:noWrap/>
            <w:vAlign w:val="bottom"/>
            <w:hideMark/>
          </w:tcPr>
          <w:p w:rsidR="00AE7E6E" w:rsidRPr="00AE7E6E" w:rsidRDefault="00AE7E6E" w:rsidP="00AE7E6E">
            <w:pPr>
              <w:spacing w:before="0" w:after="0" w:line="240" w:lineRule="auto"/>
              <w:rPr>
                <w:b/>
                <w:bCs/>
                <w:color w:val="000000"/>
                <w:sz w:val="16"/>
                <w:szCs w:val="16"/>
                <w:lang w:eastAsia="en-NZ"/>
              </w:rPr>
            </w:pPr>
            <w:r w:rsidRPr="00AE7E6E">
              <w:rPr>
                <w:b/>
                <w:bCs/>
                <w:color w:val="000000"/>
                <w:sz w:val="16"/>
                <w:szCs w:val="16"/>
                <w:lang w:eastAsia="en-NZ"/>
              </w:rPr>
              <w:t>Tafea</w:t>
            </w:r>
          </w:p>
        </w:tc>
        <w:tc>
          <w:tcPr>
            <w:tcW w:w="0" w:type="auto"/>
            <w:tcBorders>
              <w:top w:val="nil"/>
              <w:left w:val="nil"/>
              <w:bottom w:val="nil"/>
              <w:right w:val="single" w:sz="4" w:space="0" w:color="auto"/>
            </w:tcBorders>
            <w:shd w:val="clear" w:color="auto" w:fill="auto"/>
            <w:noWrap/>
            <w:vAlign w:val="bottom"/>
            <w:hideMark/>
          </w:tcPr>
          <w:p w:rsidR="00AE7E6E" w:rsidRPr="00AE7E6E" w:rsidRDefault="00AE7E6E" w:rsidP="00AE7E6E">
            <w:pPr>
              <w:spacing w:before="0" w:after="0" w:line="240" w:lineRule="auto"/>
              <w:rPr>
                <w:b/>
                <w:bCs/>
                <w:color w:val="000000"/>
                <w:sz w:val="16"/>
                <w:szCs w:val="16"/>
                <w:lang w:eastAsia="en-NZ"/>
              </w:rPr>
            </w:pPr>
            <w:r w:rsidRPr="00AE7E6E">
              <w:rPr>
                <w:b/>
                <w:bCs/>
                <w:color w:val="000000"/>
                <w:sz w:val="16"/>
                <w:szCs w:val="16"/>
                <w:lang w:eastAsia="en-NZ"/>
              </w:rPr>
              <w:t>Total expenditure</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285,912,400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17,092,800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51,358,200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849,300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15,309,400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24,598,700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11,458,000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31,936,000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9,448,900</w:t>
            </w:r>
          </w:p>
        </w:tc>
        <w:tc>
          <w:tcPr>
            <w:tcW w:w="0" w:type="auto"/>
            <w:tcBorders>
              <w:top w:val="single" w:sz="4" w:space="0" w:color="auto"/>
              <w:left w:val="single" w:sz="4" w:space="0" w:color="auto"/>
              <w:bottom w:val="nil"/>
              <w:right w:val="single" w:sz="4" w:space="0" w:color="auto"/>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447,963,700</w:t>
            </w:r>
          </w:p>
        </w:tc>
      </w:tr>
      <w:tr w:rsidR="00AE7E6E" w:rsidRPr="00AE7E6E" w:rsidTr="00AE7E6E">
        <w:tc>
          <w:tcPr>
            <w:tcW w:w="0" w:type="auto"/>
            <w:tcBorders>
              <w:top w:val="nil"/>
              <w:left w:val="single" w:sz="4" w:space="0" w:color="auto"/>
              <w:bottom w:val="nil"/>
              <w:right w:val="nil"/>
            </w:tcBorders>
            <w:shd w:val="clear" w:color="auto" w:fill="auto"/>
            <w:noWrap/>
            <w:vAlign w:val="bottom"/>
            <w:hideMark/>
          </w:tcPr>
          <w:p w:rsidR="00AE7E6E" w:rsidRPr="00AE7E6E" w:rsidRDefault="00AE7E6E" w:rsidP="00AE7E6E">
            <w:pPr>
              <w:spacing w:before="0" w:after="0" w:line="240" w:lineRule="auto"/>
              <w:rPr>
                <w:color w:val="000000"/>
                <w:sz w:val="16"/>
                <w:szCs w:val="16"/>
                <w:lang w:eastAsia="en-NZ"/>
              </w:rPr>
            </w:pPr>
            <w:r w:rsidRPr="00AE7E6E">
              <w:rPr>
                <w:color w:val="000000"/>
                <w:sz w:val="16"/>
                <w:szCs w:val="16"/>
                <w:lang w:eastAsia="en-NZ"/>
              </w:rPr>
              <w:t> </w:t>
            </w:r>
          </w:p>
        </w:tc>
        <w:tc>
          <w:tcPr>
            <w:tcW w:w="0" w:type="auto"/>
            <w:tcBorders>
              <w:top w:val="nil"/>
              <w:left w:val="nil"/>
              <w:bottom w:val="nil"/>
              <w:right w:val="single" w:sz="4" w:space="0" w:color="auto"/>
            </w:tcBorders>
            <w:shd w:val="clear" w:color="auto" w:fill="auto"/>
            <w:noWrap/>
            <w:vAlign w:val="bottom"/>
            <w:hideMark/>
          </w:tcPr>
          <w:p w:rsidR="00AE7E6E" w:rsidRPr="00AE7E6E" w:rsidRDefault="00AE7E6E" w:rsidP="00AE7E6E">
            <w:pPr>
              <w:spacing w:before="0" w:after="0" w:line="240" w:lineRule="auto"/>
              <w:rPr>
                <w:color w:val="000000"/>
                <w:sz w:val="16"/>
                <w:szCs w:val="16"/>
                <w:lang w:eastAsia="en-NZ"/>
              </w:rPr>
            </w:pPr>
            <w:r w:rsidRPr="00AE7E6E">
              <w:rPr>
                <w:color w:val="000000"/>
                <w:sz w:val="16"/>
                <w:szCs w:val="16"/>
                <w:lang w:eastAsia="en-NZ"/>
              </w:rPr>
              <w:t>H'holds with expenditure</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6,880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6,860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6,700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1,300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3,090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4,690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5,530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4,050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1,130</w:t>
            </w:r>
          </w:p>
        </w:tc>
        <w:tc>
          <w:tcPr>
            <w:tcW w:w="0" w:type="auto"/>
            <w:tcBorders>
              <w:top w:val="nil"/>
              <w:left w:val="single" w:sz="4" w:space="0" w:color="auto"/>
              <w:bottom w:val="nil"/>
              <w:right w:val="single" w:sz="4" w:space="0" w:color="auto"/>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6,880</w:t>
            </w:r>
          </w:p>
        </w:tc>
      </w:tr>
      <w:tr w:rsidR="00AE7E6E" w:rsidRPr="00AE7E6E" w:rsidTr="00AE7E6E">
        <w:tc>
          <w:tcPr>
            <w:tcW w:w="0" w:type="auto"/>
            <w:tcBorders>
              <w:top w:val="nil"/>
              <w:left w:val="single" w:sz="4" w:space="0" w:color="auto"/>
              <w:bottom w:val="nil"/>
              <w:right w:val="nil"/>
            </w:tcBorders>
            <w:shd w:val="clear" w:color="auto" w:fill="auto"/>
            <w:noWrap/>
            <w:vAlign w:val="bottom"/>
            <w:hideMark/>
          </w:tcPr>
          <w:p w:rsidR="00AE7E6E" w:rsidRPr="00AE7E6E" w:rsidRDefault="00AE7E6E" w:rsidP="00AE7E6E">
            <w:pPr>
              <w:spacing w:before="0" w:after="0" w:line="240" w:lineRule="auto"/>
              <w:rPr>
                <w:color w:val="000000"/>
                <w:sz w:val="16"/>
                <w:szCs w:val="16"/>
                <w:lang w:eastAsia="en-NZ"/>
              </w:rPr>
            </w:pPr>
            <w:r w:rsidRPr="00AE7E6E">
              <w:rPr>
                <w:color w:val="000000"/>
                <w:sz w:val="16"/>
                <w:szCs w:val="16"/>
                <w:lang w:eastAsia="en-NZ"/>
              </w:rPr>
              <w:t> </w:t>
            </w:r>
          </w:p>
        </w:tc>
        <w:tc>
          <w:tcPr>
            <w:tcW w:w="0" w:type="auto"/>
            <w:tcBorders>
              <w:top w:val="nil"/>
              <w:left w:val="nil"/>
              <w:bottom w:val="nil"/>
              <w:right w:val="single" w:sz="4" w:space="0" w:color="auto"/>
            </w:tcBorders>
            <w:shd w:val="clear" w:color="auto" w:fill="auto"/>
            <w:noWrap/>
            <w:vAlign w:val="bottom"/>
            <w:hideMark/>
          </w:tcPr>
          <w:p w:rsidR="00AE7E6E" w:rsidRPr="00AE7E6E" w:rsidRDefault="00AE7E6E" w:rsidP="00AE7E6E">
            <w:pPr>
              <w:spacing w:before="0" w:after="0" w:line="240" w:lineRule="auto"/>
              <w:rPr>
                <w:color w:val="000000"/>
                <w:sz w:val="16"/>
                <w:szCs w:val="16"/>
                <w:lang w:eastAsia="en-NZ"/>
              </w:rPr>
            </w:pPr>
            <w:r w:rsidRPr="00AE7E6E">
              <w:rPr>
                <w:color w:val="000000"/>
                <w:sz w:val="16"/>
                <w:szCs w:val="16"/>
                <w:lang w:eastAsia="en-NZ"/>
              </w:rPr>
              <w:t>People residing in these h'holds</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34,360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34,220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33,820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7,480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17,010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24,290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28,620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21,430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5,430</w:t>
            </w:r>
          </w:p>
        </w:tc>
        <w:tc>
          <w:tcPr>
            <w:tcW w:w="0" w:type="auto"/>
            <w:tcBorders>
              <w:top w:val="nil"/>
              <w:left w:val="single" w:sz="4" w:space="0" w:color="auto"/>
              <w:bottom w:val="nil"/>
              <w:right w:val="single" w:sz="4" w:space="0" w:color="auto"/>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34,360</w:t>
            </w:r>
          </w:p>
        </w:tc>
      </w:tr>
      <w:tr w:rsidR="00AE7E6E" w:rsidRPr="00AE7E6E" w:rsidTr="00AE7E6E">
        <w:tc>
          <w:tcPr>
            <w:tcW w:w="0" w:type="auto"/>
            <w:tcBorders>
              <w:top w:val="nil"/>
              <w:left w:val="single" w:sz="4" w:space="0" w:color="auto"/>
              <w:bottom w:val="nil"/>
              <w:right w:val="nil"/>
            </w:tcBorders>
            <w:shd w:val="clear" w:color="auto" w:fill="auto"/>
            <w:noWrap/>
            <w:vAlign w:val="bottom"/>
            <w:hideMark/>
          </w:tcPr>
          <w:p w:rsidR="00AE7E6E" w:rsidRPr="00AE7E6E" w:rsidRDefault="00AE7E6E" w:rsidP="00AE7E6E">
            <w:pPr>
              <w:spacing w:before="0" w:after="0" w:line="240" w:lineRule="auto"/>
              <w:rPr>
                <w:color w:val="000000"/>
                <w:sz w:val="16"/>
                <w:szCs w:val="16"/>
                <w:lang w:eastAsia="en-NZ"/>
              </w:rPr>
            </w:pPr>
            <w:r w:rsidRPr="00AE7E6E">
              <w:rPr>
                <w:color w:val="000000"/>
                <w:sz w:val="16"/>
                <w:szCs w:val="16"/>
                <w:lang w:eastAsia="en-NZ"/>
              </w:rPr>
              <w:t> </w:t>
            </w:r>
          </w:p>
        </w:tc>
        <w:tc>
          <w:tcPr>
            <w:tcW w:w="0" w:type="auto"/>
            <w:tcBorders>
              <w:top w:val="nil"/>
              <w:left w:val="nil"/>
              <w:bottom w:val="nil"/>
              <w:right w:val="single" w:sz="4" w:space="0" w:color="auto"/>
            </w:tcBorders>
            <w:shd w:val="clear" w:color="auto" w:fill="auto"/>
            <w:noWrap/>
            <w:vAlign w:val="bottom"/>
            <w:hideMark/>
          </w:tcPr>
          <w:p w:rsidR="00AE7E6E" w:rsidRPr="00AE7E6E" w:rsidRDefault="00AE7E6E" w:rsidP="00AE7E6E">
            <w:pPr>
              <w:spacing w:before="0" w:after="0" w:line="240" w:lineRule="auto"/>
              <w:rPr>
                <w:color w:val="000000"/>
                <w:sz w:val="16"/>
                <w:szCs w:val="16"/>
                <w:lang w:eastAsia="en-NZ"/>
              </w:rPr>
            </w:pPr>
            <w:r w:rsidRPr="00AE7E6E">
              <w:rPr>
                <w:color w:val="000000"/>
                <w:sz w:val="16"/>
                <w:szCs w:val="16"/>
                <w:lang w:eastAsia="en-NZ"/>
              </w:rPr>
              <w:t>Average h'hold expenditure</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41,500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2,500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7,700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700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4,900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5,200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2,100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7,900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8,400</w:t>
            </w:r>
          </w:p>
        </w:tc>
        <w:tc>
          <w:tcPr>
            <w:tcW w:w="0" w:type="auto"/>
            <w:tcBorders>
              <w:top w:val="nil"/>
              <w:left w:val="single" w:sz="4" w:space="0" w:color="auto"/>
              <w:bottom w:val="nil"/>
              <w:right w:val="single" w:sz="4" w:space="0" w:color="auto"/>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65,100</w:t>
            </w:r>
          </w:p>
        </w:tc>
      </w:tr>
      <w:tr w:rsidR="00AE7E6E" w:rsidRPr="00AE7E6E" w:rsidTr="00AE7E6E">
        <w:tc>
          <w:tcPr>
            <w:tcW w:w="0" w:type="auto"/>
            <w:tcBorders>
              <w:top w:val="nil"/>
              <w:left w:val="single" w:sz="4" w:space="0" w:color="auto"/>
              <w:bottom w:val="single" w:sz="4" w:space="0" w:color="auto"/>
              <w:right w:val="nil"/>
            </w:tcBorders>
            <w:shd w:val="clear" w:color="auto" w:fill="auto"/>
            <w:noWrap/>
            <w:vAlign w:val="bottom"/>
            <w:hideMark/>
          </w:tcPr>
          <w:p w:rsidR="00AE7E6E" w:rsidRPr="00AE7E6E" w:rsidRDefault="00AE7E6E" w:rsidP="00AE7E6E">
            <w:pPr>
              <w:spacing w:before="0" w:after="0" w:line="240" w:lineRule="auto"/>
              <w:rPr>
                <w:color w:val="000000"/>
                <w:sz w:val="16"/>
                <w:szCs w:val="16"/>
                <w:lang w:eastAsia="en-NZ"/>
              </w:rPr>
            </w:pPr>
            <w:r w:rsidRPr="00AE7E6E">
              <w:rPr>
                <w:color w:val="000000"/>
                <w:sz w:val="16"/>
                <w:szCs w:val="16"/>
                <w:lang w:eastAsia="en-NZ"/>
              </w:rPr>
              <w:t> </w:t>
            </w:r>
          </w:p>
        </w:tc>
        <w:tc>
          <w:tcPr>
            <w:tcW w:w="0" w:type="auto"/>
            <w:tcBorders>
              <w:top w:val="nil"/>
              <w:left w:val="nil"/>
              <w:bottom w:val="single" w:sz="4" w:space="0" w:color="auto"/>
              <w:right w:val="single" w:sz="4" w:space="0" w:color="auto"/>
            </w:tcBorders>
            <w:shd w:val="clear" w:color="auto" w:fill="auto"/>
            <w:noWrap/>
            <w:vAlign w:val="bottom"/>
            <w:hideMark/>
          </w:tcPr>
          <w:p w:rsidR="00AE7E6E" w:rsidRPr="00AE7E6E" w:rsidRDefault="00AE7E6E" w:rsidP="00AE7E6E">
            <w:pPr>
              <w:spacing w:before="0" w:after="0" w:line="240" w:lineRule="auto"/>
              <w:rPr>
                <w:color w:val="000000"/>
                <w:sz w:val="16"/>
                <w:szCs w:val="16"/>
                <w:lang w:eastAsia="en-NZ"/>
              </w:rPr>
            </w:pPr>
            <w:r w:rsidRPr="00AE7E6E">
              <w:rPr>
                <w:color w:val="000000"/>
                <w:sz w:val="16"/>
                <w:szCs w:val="16"/>
                <w:lang w:eastAsia="en-NZ"/>
              </w:rPr>
              <w:t>Average per capita expenditure</w:t>
            </w:r>
          </w:p>
        </w:tc>
        <w:tc>
          <w:tcPr>
            <w:tcW w:w="0" w:type="auto"/>
            <w:tcBorders>
              <w:top w:val="nil"/>
              <w:left w:val="nil"/>
              <w:bottom w:val="single" w:sz="4" w:space="0" w:color="auto"/>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8,300</w:t>
            </w:r>
          </w:p>
        </w:tc>
        <w:tc>
          <w:tcPr>
            <w:tcW w:w="0" w:type="auto"/>
            <w:tcBorders>
              <w:top w:val="nil"/>
              <w:left w:val="nil"/>
              <w:bottom w:val="single" w:sz="4" w:space="0" w:color="auto"/>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500</w:t>
            </w:r>
          </w:p>
        </w:tc>
        <w:tc>
          <w:tcPr>
            <w:tcW w:w="0" w:type="auto"/>
            <w:tcBorders>
              <w:top w:val="nil"/>
              <w:left w:val="nil"/>
              <w:bottom w:val="single" w:sz="4" w:space="0" w:color="auto"/>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1,500</w:t>
            </w:r>
          </w:p>
        </w:tc>
        <w:tc>
          <w:tcPr>
            <w:tcW w:w="0" w:type="auto"/>
            <w:tcBorders>
              <w:top w:val="nil"/>
              <w:left w:val="nil"/>
              <w:bottom w:val="single" w:sz="4" w:space="0" w:color="auto"/>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900</w:t>
            </w:r>
          </w:p>
        </w:tc>
        <w:tc>
          <w:tcPr>
            <w:tcW w:w="0" w:type="auto"/>
            <w:tcBorders>
              <w:top w:val="nil"/>
              <w:left w:val="nil"/>
              <w:bottom w:val="single" w:sz="4" w:space="0" w:color="auto"/>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1,000</w:t>
            </w:r>
          </w:p>
        </w:tc>
        <w:tc>
          <w:tcPr>
            <w:tcW w:w="0" w:type="auto"/>
            <w:tcBorders>
              <w:top w:val="nil"/>
              <w:left w:val="nil"/>
              <w:bottom w:val="single" w:sz="4" w:space="0" w:color="auto"/>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400</w:t>
            </w:r>
          </w:p>
        </w:tc>
        <w:tc>
          <w:tcPr>
            <w:tcW w:w="0" w:type="auto"/>
            <w:tcBorders>
              <w:top w:val="nil"/>
              <w:left w:val="nil"/>
              <w:bottom w:val="single" w:sz="4" w:space="0" w:color="auto"/>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1,500</w:t>
            </w:r>
          </w:p>
        </w:tc>
        <w:tc>
          <w:tcPr>
            <w:tcW w:w="0" w:type="auto"/>
            <w:tcBorders>
              <w:top w:val="nil"/>
              <w:left w:val="nil"/>
              <w:bottom w:val="single" w:sz="4" w:space="0" w:color="auto"/>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1,700</w:t>
            </w:r>
          </w:p>
        </w:tc>
        <w:tc>
          <w:tcPr>
            <w:tcW w:w="0" w:type="auto"/>
            <w:tcBorders>
              <w:top w:val="nil"/>
              <w:left w:val="single" w:sz="4" w:space="0" w:color="auto"/>
              <w:bottom w:val="nil"/>
              <w:right w:val="single" w:sz="4" w:space="0" w:color="auto"/>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13,000</w:t>
            </w:r>
          </w:p>
        </w:tc>
      </w:tr>
      <w:tr w:rsidR="00AE7E6E" w:rsidRPr="00AE7E6E" w:rsidTr="00AE7E6E">
        <w:tc>
          <w:tcPr>
            <w:tcW w:w="0" w:type="auto"/>
            <w:tcBorders>
              <w:top w:val="nil"/>
              <w:left w:val="single" w:sz="4" w:space="0" w:color="auto"/>
              <w:bottom w:val="nil"/>
              <w:right w:val="nil"/>
            </w:tcBorders>
            <w:shd w:val="clear" w:color="auto" w:fill="auto"/>
            <w:noWrap/>
            <w:vAlign w:val="bottom"/>
            <w:hideMark/>
          </w:tcPr>
          <w:p w:rsidR="00AE7E6E" w:rsidRPr="00AE7E6E" w:rsidRDefault="00AE7E6E" w:rsidP="00AE7E6E">
            <w:pPr>
              <w:spacing w:before="0" w:after="0" w:line="240" w:lineRule="auto"/>
              <w:rPr>
                <w:b/>
                <w:bCs/>
                <w:color w:val="000000"/>
                <w:sz w:val="16"/>
                <w:szCs w:val="16"/>
                <w:lang w:eastAsia="en-NZ"/>
              </w:rPr>
            </w:pPr>
            <w:r w:rsidRPr="00AE7E6E">
              <w:rPr>
                <w:b/>
                <w:bCs/>
                <w:color w:val="000000"/>
                <w:sz w:val="16"/>
                <w:szCs w:val="16"/>
                <w:lang w:eastAsia="en-NZ"/>
              </w:rPr>
              <w:t>Luganville</w:t>
            </w:r>
          </w:p>
        </w:tc>
        <w:tc>
          <w:tcPr>
            <w:tcW w:w="0" w:type="auto"/>
            <w:tcBorders>
              <w:top w:val="nil"/>
              <w:left w:val="nil"/>
              <w:bottom w:val="nil"/>
              <w:right w:val="single" w:sz="4" w:space="0" w:color="auto"/>
            </w:tcBorders>
            <w:shd w:val="clear" w:color="auto" w:fill="auto"/>
            <w:noWrap/>
            <w:vAlign w:val="bottom"/>
            <w:hideMark/>
          </w:tcPr>
          <w:p w:rsidR="00AE7E6E" w:rsidRPr="00AE7E6E" w:rsidRDefault="00AE7E6E" w:rsidP="00AE7E6E">
            <w:pPr>
              <w:spacing w:before="0" w:after="0" w:line="240" w:lineRule="auto"/>
              <w:rPr>
                <w:b/>
                <w:bCs/>
                <w:color w:val="000000"/>
                <w:sz w:val="16"/>
                <w:szCs w:val="16"/>
                <w:lang w:eastAsia="en-NZ"/>
              </w:rPr>
            </w:pPr>
            <w:r w:rsidRPr="00AE7E6E">
              <w:rPr>
                <w:b/>
                <w:bCs/>
                <w:color w:val="000000"/>
                <w:sz w:val="16"/>
                <w:szCs w:val="16"/>
                <w:lang w:eastAsia="en-NZ"/>
              </w:rPr>
              <w:t>Total expenditure</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104,456,600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19,107,100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41,107,100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1,148,200</w:t>
            </w:r>
          </w:p>
        </w:tc>
        <w:tc>
          <w:tcPr>
            <w:tcW w:w="0" w:type="auto"/>
            <w:tcBorders>
              <w:top w:val="single" w:sz="4" w:space="0" w:color="auto"/>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12,663,700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10,629,600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11,418,600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8,524,200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796,700</w:t>
            </w:r>
          </w:p>
        </w:tc>
        <w:tc>
          <w:tcPr>
            <w:tcW w:w="0" w:type="auto"/>
            <w:tcBorders>
              <w:top w:val="single" w:sz="4" w:space="0" w:color="auto"/>
              <w:left w:val="single" w:sz="4" w:space="0" w:color="auto"/>
              <w:bottom w:val="nil"/>
              <w:right w:val="single" w:sz="4" w:space="0" w:color="auto"/>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209,851,700</w:t>
            </w:r>
          </w:p>
        </w:tc>
      </w:tr>
      <w:tr w:rsidR="00AE7E6E" w:rsidRPr="00AE7E6E" w:rsidTr="00AE7E6E">
        <w:tc>
          <w:tcPr>
            <w:tcW w:w="0" w:type="auto"/>
            <w:tcBorders>
              <w:top w:val="nil"/>
              <w:left w:val="single" w:sz="4" w:space="0" w:color="auto"/>
              <w:bottom w:val="nil"/>
              <w:right w:val="nil"/>
            </w:tcBorders>
            <w:shd w:val="clear" w:color="auto" w:fill="auto"/>
            <w:noWrap/>
            <w:vAlign w:val="bottom"/>
            <w:hideMark/>
          </w:tcPr>
          <w:p w:rsidR="00AE7E6E" w:rsidRPr="00AE7E6E" w:rsidRDefault="00AE7E6E" w:rsidP="00AE7E6E">
            <w:pPr>
              <w:spacing w:before="0" w:after="0" w:line="240" w:lineRule="auto"/>
              <w:rPr>
                <w:color w:val="000000"/>
                <w:sz w:val="16"/>
                <w:szCs w:val="16"/>
                <w:lang w:eastAsia="en-NZ"/>
              </w:rPr>
            </w:pPr>
            <w:r w:rsidRPr="00AE7E6E">
              <w:rPr>
                <w:color w:val="000000"/>
                <w:sz w:val="16"/>
                <w:szCs w:val="16"/>
                <w:lang w:eastAsia="en-NZ"/>
              </w:rPr>
              <w:t> </w:t>
            </w:r>
          </w:p>
        </w:tc>
        <w:tc>
          <w:tcPr>
            <w:tcW w:w="0" w:type="auto"/>
            <w:tcBorders>
              <w:top w:val="nil"/>
              <w:left w:val="nil"/>
              <w:bottom w:val="nil"/>
              <w:right w:val="single" w:sz="4" w:space="0" w:color="auto"/>
            </w:tcBorders>
            <w:shd w:val="clear" w:color="auto" w:fill="auto"/>
            <w:noWrap/>
            <w:vAlign w:val="bottom"/>
            <w:hideMark/>
          </w:tcPr>
          <w:p w:rsidR="00AE7E6E" w:rsidRPr="00AE7E6E" w:rsidRDefault="00AE7E6E" w:rsidP="00AE7E6E">
            <w:pPr>
              <w:spacing w:before="0" w:after="0" w:line="240" w:lineRule="auto"/>
              <w:rPr>
                <w:color w:val="000000"/>
                <w:sz w:val="16"/>
                <w:szCs w:val="16"/>
                <w:lang w:eastAsia="en-NZ"/>
              </w:rPr>
            </w:pPr>
            <w:r w:rsidRPr="00AE7E6E">
              <w:rPr>
                <w:color w:val="000000"/>
                <w:sz w:val="16"/>
                <w:szCs w:val="16"/>
                <w:lang w:eastAsia="en-NZ"/>
              </w:rPr>
              <w:t>H'holds with expenditure</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2,700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2,680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2,660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1,220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1,720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1,380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2,510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1,660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120</w:t>
            </w:r>
          </w:p>
        </w:tc>
        <w:tc>
          <w:tcPr>
            <w:tcW w:w="0" w:type="auto"/>
            <w:tcBorders>
              <w:top w:val="nil"/>
              <w:left w:val="single" w:sz="4" w:space="0" w:color="auto"/>
              <w:bottom w:val="nil"/>
              <w:right w:val="single" w:sz="4" w:space="0" w:color="auto"/>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2,700</w:t>
            </w:r>
          </w:p>
        </w:tc>
      </w:tr>
      <w:tr w:rsidR="00AE7E6E" w:rsidRPr="00AE7E6E" w:rsidTr="00AE7E6E">
        <w:tc>
          <w:tcPr>
            <w:tcW w:w="0" w:type="auto"/>
            <w:tcBorders>
              <w:top w:val="nil"/>
              <w:left w:val="single" w:sz="4" w:space="0" w:color="auto"/>
              <w:bottom w:val="nil"/>
              <w:right w:val="nil"/>
            </w:tcBorders>
            <w:shd w:val="clear" w:color="auto" w:fill="auto"/>
            <w:noWrap/>
            <w:vAlign w:val="bottom"/>
            <w:hideMark/>
          </w:tcPr>
          <w:p w:rsidR="00AE7E6E" w:rsidRPr="00AE7E6E" w:rsidRDefault="00AE7E6E" w:rsidP="00AE7E6E">
            <w:pPr>
              <w:spacing w:before="0" w:after="0" w:line="240" w:lineRule="auto"/>
              <w:rPr>
                <w:color w:val="000000"/>
                <w:sz w:val="16"/>
                <w:szCs w:val="16"/>
                <w:lang w:eastAsia="en-NZ"/>
              </w:rPr>
            </w:pPr>
            <w:r w:rsidRPr="00AE7E6E">
              <w:rPr>
                <w:color w:val="000000"/>
                <w:sz w:val="16"/>
                <w:szCs w:val="16"/>
                <w:lang w:eastAsia="en-NZ"/>
              </w:rPr>
              <w:t> </w:t>
            </w:r>
          </w:p>
        </w:tc>
        <w:tc>
          <w:tcPr>
            <w:tcW w:w="0" w:type="auto"/>
            <w:tcBorders>
              <w:top w:val="nil"/>
              <w:left w:val="nil"/>
              <w:bottom w:val="nil"/>
              <w:right w:val="single" w:sz="4" w:space="0" w:color="auto"/>
            </w:tcBorders>
            <w:shd w:val="clear" w:color="auto" w:fill="auto"/>
            <w:noWrap/>
            <w:vAlign w:val="bottom"/>
            <w:hideMark/>
          </w:tcPr>
          <w:p w:rsidR="00AE7E6E" w:rsidRPr="00AE7E6E" w:rsidRDefault="00AE7E6E" w:rsidP="00AE7E6E">
            <w:pPr>
              <w:spacing w:before="0" w:after="0" w:line="240" w:lineRule="auto"/>
              <w:rPr>
                <w:color w:val="000000"/>
                <w:sz w:val="16"/>
                <w:szCs w:val="16"/>
                <w:lang w:eastAsia="en-NZ"/>
              </w:rPr>
            </w:pPr>
            <w:r w:rsidRPr="00AE7E6E">
              <w:rPr>
                <w:color w:val="000000"/>
                <w:sz w:val="16"/>
                <w:szCs w:val="16"/>
                <w:lang w:eastAsia="en-NZ"/>
              </w:rPr>
              <w:t>People residing in these h'holds</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15,110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15,060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14,930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7,050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10,030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7,850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14,370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9,420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610</w:t>
            </w:r>
          </w:p>
        </w:tc>
        <w:tc>
          <w:tcPr>
            <w:tcW w:w="0" w:type="auto"/>
            <w:tcBorders>
              <w:top w:val="nil"/>
              <w:left w:val="single" w:sz="4" w:space="0" w:color="auto"/>
              <w:bottom w:val="nil"/>
              <w:right w:val="single" w:sz="4" w:space="0" w:color="auto"/>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15,110</w:t>
            </w:r>
          </w:p>
        </w:tc>
      </w:tr>
      <w:tr w:rsidR="00AE7E6E" w:rsidRPr="00AE7E6E" w:rsidTr="00AE7E6E">
        <w:tc>
          <w:tcPr>
            <w:tcW w:w="0" w:type="auto"/>
            <w:tcBorders>
              <w:top w:val="nil"/>
              <w:left w:val="single" w:sz="4" w:space="0" w:color="auto"/>
              <w:bottom w:val="nil"/>
              <w:right w:val="nil"/>
            </w:tcBorders>
            <w:shd w:val="clear" w:color="auto" w:fill="auto"/>
            <w:noWrap/>
            <w:vAlign w:val="bottom"/>
            <w:hideMark/>
          </w:tcPr>
          <w:p w:rsidR="00AE7E6E" w:rsidRPr="00AE7E6E" w:rsidRDefault="00AE7E6E" w:rsidP="00AE7E6E">
            <w:pPr>
              <w:spacing w:before="0" w:after="0" w:line="240" w:lineRule="auto"/>
              <w:rPr>
                <w:color w:val="000000"/>
                <w:sz w:val="16"/>
                <w:szCs w:val="16"/>
                <w:lang w:eastAsia="en-NZ"/>
              </w:rPr>
            </w:pPr>
            <w:r w:rsidRPr="00AE7E6E">
              <w:rPr>
                <w:color w:val="000000"/>
                <w:sz w:val="16"/>
                <w:szCs w:val="16"/>
                <w:lang w:eastAsia="en-NZ"/>
              </w:rPr>
              <w:t> </w:t>
            </w:r>
          </w:p>
        </w:tc>
        <w:tc>
          <w:tcPr>
            <w:tcW w:w="0" w:type="auto"/>
            <w:tcBorders>
              <w:top w:val="nil"/>
              <w:left w:val="nil"/>
              <w:bottom w:val="nil"/>
              <w:right w:val="single" w:sz="4" w:space="0" w:color="auto"/>
            </w:tcBorders>
            <w:shd w:val="clear" w:color="auto" w:fill="auto"/>
            <w:noWrap/>
            <w:vAlign w:val="bottom"/>
            <w:hideMark/>
          </w:tcPr>
          <w:p w:rsidR="00AE7E6E" w:rsidRPr="00AE7E6E" w:rsidRDefault="00AE7E6E" w:rsidP="00AE7E6E">
            <w:pPr>
              <w:spacing w:before="0" w:after="0" w:line="240" w:lineRule="auto"/>
              <w:rPr>
                <w:color w:val="000000"/>
                <w:sz w:val="16"/>
                <w:szCs w:val="16"/>
                <w:lang w:eastAsia="en-NZ"/>
              </w:rPr>
            </w:pPr>
            <w:r w:rsidRPr="00AE7E6E">
              <w:rPr>
                <w:color w:val="000000"/>
                <w:sz w:val="16"/>
                <w:szCs w:val="16"/>
                <w:lang w:eastAsia="en-NZ"/>
              </w:rPr>
              <w:t>Average h'hold expenditure</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38,700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7,100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15,500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900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7,400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7,700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4,500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5,100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6,500</w:t>
            </w:r>
          </w:p>
        </w:tc>
        <w:tc>
          <w:tcPr>
            <w:tcW w:w="0" w:type="auto"/>
            <w:tcBorders>
              <w:top w:val="nil"/>
              <w:left w:val="single" w:sz="4" w:space="0" w:color="auto"/>
              <w:bottom w:val="nil"/>
              <w:right w:val="single" w:sz="4" w:space="0" w:color="auto"/>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77,700</w:t>
            </w:r>
          </w:p>
        </w:tc>
      </w:tr>
      <w:tr w:rsidR="00AE7E6E" w:rsidRPr="00AE7E6E" w:rsidTr="00AE7E6E">
        <w:tc>
          <w:tcPr>
            <w:tcW w:w="0" w:type="auto"/>
            <w:tcBorders>
              <w:top w:val="nil"/>
              <w:left w:val="single" w:sz="4" w:space="0" w:color="auto"/>
              <w:bottom w:val="single" w:sz="4" w:space="0" w:color="auto"/>
              <w:right w:val="nil"/>
            </w:tcBorders>
            <w:shd w:val="clear" w:color="auto" w:fill="auto"/>
            <w:noWrap/>
            <w:vAlign w:val="bottom"/>
            <w:hideMark/>
          </w:tcPr>
          <w:p w:rsidR="00AE7E6E" w:rsidRPr="00AE7E6E" w:rsidRDefault="00AE7E6E" w:rsidP="00AE7E6E">
            <w:pPr>
              <w:spacing w:before="0" w:after="0" w:line="240" w:lineRule="auto"/>
              <w:rPr>
                <w:color w:val="000000"/>
                <w:sz w:val="16"/>
                <w:szCs w:val="16"/>
                <w:lang w:eastAsia="en-NZ"/>
              </w:rPr>
            </w:pPr>
            <w:r w:rsidRPr="00AE7E6E">
              <w:rPr>
                <w:color w:val="000000"/>
                <w:sz w:val="16"/>
                <w:szCs w:val="16"/>
                <w:lang w:eastAsia="en-NZ"/>
              </w:rPr>
              <w:t> </w:t>
            </w:r>
          </w:p>
        </w:tc>
        <w:tc>
          <w:tcPr>
            <w:tcW w:w="0" w:type="auto"/>
            <w:tcBorders>
              <w:top w:val="nil"/>
              <w:left w:val="nil"/>
              <w:bottom w:val="single" w:sz="4" w:space="0" w:color="auto"/>
              <w:right w:val="single" w:sz="4" w:space="0" w:color="auto"/>
            </w:tcBorders>
            <w:shd w:val="clear" w:color="auto" w:fill="auto"/>
            <w:noWrap/>
            <w:vAlign w:val="bottom"/>
            <w:hideMark/>
          </w:tcPr>
          <w:p w:rsidR="00AE7E6E" w:rsidRPr="00AE7E6E" w:rsidRDefault="00AE7E6E" w:rsidP="00AE7E6E">
            <w:pPr>
              <w:spacing w:before="0" w:after="0" w:line="240" w:lineRule="auto"/>
              <w:rPr>
                <w:color w:val="000000"/>
                <w:sz w:val="16"/>
                <w:szCs w:val="16"/>
                <w:lang w:eastAsia="en-NZ"/>
              </w:rPr>
            </w:pPr>
            <w:r w:rsidRPr="00AE7E6E">
              <w:rPr>
                <w:color w:val="000000"/>
                <w:sz w:val="16"/>
                <w:szCs w:val="16"/>
                <w:lang w:eastAsia="en-NZ"/>
              </w:rPr>
              <w:t>Average per capita expenditure</w:t>
            </w:r>
          </w:p>
        </w:tc>
        <w:tc>
          <w:tcPr>
            <w:tcW w:w="0" w:type="auto"/>
            <w:tcBorders>
              <w:top w:val="nil"/>
              <w:left w:val="nil"/>
              <w:bottom w:val="single" w:sz="4" w:space="0" w:color="auto"/>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6,900</w:t>
            </w:r>
          </w:p>
        </w:tc>
        <w:tc>
          <w:tcPr>
            <w:tcW w:w="0" w:type="auto"/>
            <w:tcBorders>
              <w:top w:val="nil"/>
              <w:left w:val="nil"/>
              <w:bottom w:val="single" w:sz="4" w:space="0" w:color="auto"/>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1,300</w:t>
            </w:r>
          </w:p>
        </w:tc>
        <w:tc>
          <w:tcPr>
            <w:tcW w:w="0" w:type="auto"/>
            <w:tcBorders>
              <w:top w:val="nil"/>
              <w:left w:val="nil"/>
              <w:bottom w:val="single" w:sz="4" w:space="0" w:color="auto"/>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2,800</w:t>
            </w:r>
          </w:p>
        </w:tc>
        <w:tc>
          <w:tcPr>
            <w:tcW w:w="0" w:type="auto"/>
            <w:tcBorders>
              <w:top w:val="nil"/>
              <w:left w:val="nil"/>
              <w:bottom w:val="single" w:sz="4" w:space="0" w:color="auto"/>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200</w:t>
            </w:r>
          </w:p>
        </w:tc>
        <w:tc>
          <w:tcPr>
            <w:tcW w:w="0" w:type="auto"/>
            <w:tcBorders>
              <w:top w:val="nil"/>
              <w:left w:val="nil"/>
              <w:bottom w:val="single" w:sz="4" w:space="0" w:color="auto"/>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1,300</w:t>
            </w:r>
          </w:p>
        </w:tc>
        <w:tc>
          <w:tcPr>
            <w:tcW w:w="0" w:type="auto"/>
            <w:tcBorders>
              <w:top w:val="nil"/>
              <w:left w:val="nil"/>
              <w:bottom w:val="single" w:sz="4" w:space="0" w:color="auto"/>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1,400</w:t>
            </w:r>
          </w:p>
        </w:tc>
        <w:tc>
          <w:tcPr>
            <w:tcW w:w="0" w:type="auto"/>
            <w:tcBorders>
              <w:top w:val="nil"/>
              <w:left w:val="nil"/>
              <w:bottom w:val="single" w:sz="4" w:space="0" w:color="auto"/>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800</w:t>
            </w:r>
          </w:p>
        </w:tc>
        <w:tc>
          <w:tcPr>
            <w:tcW w:w="0" w:type="auto"/>
            <w:tcBorders>
              <w:top w:val="nil"/>
              <w:left w:val="nil"/>
              <w:bottom w:val="single" w:sz="4" w:space="0" w:color="auto"/>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900</w:t>
            </w:r>
          </w:p>
        </w:tc>
        <w:tc>
          <w:tcPr>
            <w:tcW w:w="0" w:type="auto"/>
            <w:tcBorders>
              <w:top w:val="nil"/>
              <w:left w:val="nil"/>
              <w:bottom w:val="single" w:sz="4" w:space="0" w:color="auto"/>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1,300</w:t>
            </w:r>
          </w:p>
        </w:tc>
        <w:tc>
          <w:tcPr>
            <w:tcW w:w="0" w:type="auto"/>
            <w:tcBorders>
              <w:top w:val="nil"/>
              <w:left w:val="single" w:sz="4" w:space="0" w:color="auto"/>
              <w:bottom w:val="nil"/>
              <w:right w:val="single" w:sz="4" w:space="0" w:color="auto"/>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13,900</w:t>
            </w:r>
          </w:p>
        </w:tc>
      </w:tr>
      <w:tr w:rsidR="00AE7E6E" w:rsidRPr="00AE7E6E" w:rsidTr="00AE7E6E">
        <w:tc>
          <w:tcPr>
            <w:tcW w:w="0" w:type="auto"/>
            <w:tcBorders>
              <w:top w:val="nil"/>
              <w:left w:val="single" w:sz="4" w:space="0" w:color="auto"/>
              <w:bottom w:val="nil"/>
              <w:right w:val="nil"/>
            </w:tcBorders>
            <w:shd w:val="clear" w:color="auto" w:fill="auto"/>
            <w:noWrap/>
            <w:vAlign w:val="bottom"/>
            <w:hideMark/>
          </w:tcPr>
          <w:p w:rsidR="00AE7E6E" w:rsidRPr="00AE7E6E" w:rsidRDefault="00AE7E6E" w:rsidP="00AE7E6E">
            <w:pPr>
              <w:spacing w:before="0" w:after="0" w:line="240" w:lineRule="auto"/>
              <w:rPr>
                <w:b/>
                <w:bCs/>
                <w:color w:val="000000"/>
                <w:sz w:val="16"/>
                <w:szCs w:val="16"/>
                <w:lang w:eastAsia="en-NZ"/>
              </w:rPr>
            </w:pPr>
            <w:r w:rsidRPr="00AE7E6E">
              <w:rPr>
                <w:b/>
                <w:bCs/>
                <w:color w:val="000000"/>
                <w:sz w:val="16"/>
                <w:szCs w:val="16"/>
                <w:lang w:eastAsia="en-NZ"/>
              </w:rPr>
              <w:t>Port Vila</w:t>
            </w:r>
          </w:p>
        </w:tc>
        <w:tc>
          <w:tcPr>
            <w:tcW w:w="0" w:type="auto"/>
            <w:tcBorders>
              <w:top w:val="nil"/>
              <w:left w:val="nil"/>
              <w:bottom w:val="nil"/>
              <w:right w:val="single" w:sz="4" w:space="0" w:color="auto"/>
            </w:tcBorders>
            <w:shd w:val="clear" w:color="auto" w:fill="auto"/>
            <w:noWrap/>
            <w:vAlign w:val="bottom"/>
            <w:hideMark/>
          </w:tcPr>
          <w:p w:rsidR="00AE7E6E" w:rsidRPr="00AE7E6E" w:rsidRDefault="00AE7E6E" w:rsidP="00AE7E6E">
            <w:pPr>
              <w:spacing w:before="0" w:after="0" w:line="240" w:lineRule="auto"/>
              <w:rPr>
                <w:b/>
                <w:bCs/>
                <w:color w:val="000000"/>
                <w:sz w:val="16"/>
                <w:szCs w:val="16"/>
                <w:lang w:eastAsia="en-NZ"/>
              </w:rPr>
            </w:pPr>
            <w:r w:rsidRPr="00AE7E6E">
              <w:rPr>
                <w:b/>
                <w:bCs/>
                <w:color w:val="000000"/>
                <w:sz w:val="16"/>
                <w:szCs w:val="16"/>
                <w:lang w:eastAsia="en-NZ"/>
              </w:rPr>
              <w:t>Total expenditure</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410,766,600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116,650,600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189,698,700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6,865,700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86,324,300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46,227,800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76,817,300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59,498,200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10,425,300</w:t>
            </w:r>
          </w:p>
        </w:tc>
        <w:tc>
          <w:tcPr>
            <w:tcW w:w="0" w:type="auto"/>
            <w:tcBorders>
              <w:top w:val="single" w:sz="4" w:space="0" w:color="auto"/>
              <w:left w:val="single" w:sz="4" w:space="0" w:color="auto"/>
              <w:bottom w:val="nil"/>
              <w:right w:val="single" w:sz="4" w:space="0" w:color="auto"/>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1,003,274,400</w:t>
            </w:r>
          </w:p>
        </w:tc>
      </w:tr>
      <w:tr w:rsidR="00AE7E6E" w:rsidRPr="00AE7E6E" w:rsidTr="00AE7E6E">
        <w:tc>
          <w:tcPr>
            <w:tcW w:w="0" w:type="auto"/>
            <w:tcBorders>
              <w:top w:val="nil"/>
              <w:left w:val="single" w:sz="4" w:space="0" w:color="auto"/>
              <w:bottom w:val="nil"/>
              <w:right w:val="nil"/>
            </w:tcBorders>
            <w:shd w:val="clear" w:color="auto" w:fill="auto"/>
            <w:noWrap/>
            <w:vAlign w:val="bottom"/>
            <w:hideMark/>
          </w:tcPr>
          <w:p w:rsidR="00AE7E6E" w:rsidRPr="00AE7E6E" w:rsidRDefault="00AE7E6E" w:rsidP="00AE7E6E">
            <w:pPr>
              <w:spacing w:before="0" w:after="0" w:line="240" w:lineRule="auto"/>
              <w:rPr>
                <w:color w:val="000000"/>
                <w:sz w:val="16"/>
                <w:szCs w:val="16"/>
                <w:lang w:eastAsia="en-NZ"/>
              </w:rPr>
            </w:pPr>
            <w:r w:rsidRPr="00AE7E6E">
              <w:rPr>
                <w:color w:val="000000"/>
                <w:sz w:val="16"/>
                <w:szCs w:val="16"/>
                <w:lang w:eastAsia="en-NZ"/>
              </w:rPr>
              <w:t> </w:t>
            </w:r>
          </w:p>
        </w:tc>
        <w:tc>
          <w:tcPr>
            <w:tcW w:w="0" w:type="auto"/>
            <w:tcBorders>
              <w:top w:val="nil"/>
              <w:left w:val="nil"/>
              <w:bottom w:val="nil"/>
              <w:right w:val="single" w:sz="4" w:space="0" w:color="auto"/>
            </w:tcBorders>
            <w:shd w:val="clear" w:color="auto" w:fill="auto"/>
            <w:noWrap/>
            <w:vAlign w:val="bottom"/>
            <w:hideMark/>
          </w:tcPr>
          <w:p w:rsidR="00AE7E6E" w:rsidRPr="00AE7E6E" w:rsidRDefault="00AE7E6E" w:rsidP="00AE7E6E">
            <w:pPr>
              <w:spacing w:before="0" w:after="0" w:line="240" w:lineRule="auto"/>
              <w:rPr>
                <w:color w:val="000000"/>
                <w:sz w:val="16"/>
                <w:szCs w:val="16"/>
                <w:lang w:eastAsia="en-NZ"/>
              </w:rPr>
            </w:pPr>
            <w:r w:rsidRPr="00AE7E6E">
              <w:rPr>
                <w:color w:val="000000"/>
                <w:sz w:val="16"/>
                <w:szCs w:val="16"/>
                <w:lang w:eastAsia="en-NZ"/>
              </w:rPr>
              <w:t>H'holds with expenditure</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9,760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9,710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9,650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4,760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6,860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4,930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9,480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7,480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680</w:t>
            </w:r>
          </w:p>
        </w:tc>
        <w:tc>
          <w:tcPr>
            <w:tcW w:w="0" w:type="auto"/>
            <w:tcBorders>
              <w:top w:val="nil"/>
              <w:left w:val="single" w:sz="4" w:space="0" w:color="auto"/>
              <w:bottom w:val="nil"/>
              <w:right w:val="single" w:sz="4" w:space="0" w:color="auto"/>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9,760</w:t>
            </w:r>
          </w:p>
        </w:tc>
      </w:tr>
      <w:tr w:rsidR="00AE7E6E" w:rsidRPr="00AE7E6E" w:rsidTr="00AE7E6E">
        <w:tc>
          <w:tcPr>
            <w:tcW w:w="0" w:type="auto"/>
            <w:tcBorders>
              <w:top w:val="nil"/>
              <w:left w:val="single" w:sz="4" w:space="0" w:color="auto"/>
              <w:bottom w:val="nil"/>
              <w:right w:val="nil"/>
            </w:tcBorders>
            <w:shd w:val="clear" w:color="auto" w:fill="auto"/>
            <w:noWrap/>
            <w:vAlign w:val="bottom"/>
            <w:hideMark/>
          </w:tcPr>
          <w:p w:rsidR="00AE7E6E" w:rsidRPr="00AE7E6E" w:rsidRDefault="00AE7E6E" w:rsidP="00AE7E6E">
            <w:pPr>
              <w:spacing w:before="0" w:after="0" w:line="240" w:lineRule="auto"/>
              <w:rPr>
                <w:color w:val="000000"/>
                <w:sz w:val="16"/>
                <w:szCs w:val="16"/>
                <w:lang w:eastAsia="en-NZ"/>
              </w:rPr>
            </w:pPr>
            <w:r w:rsidRPr="00AE7E6E">
              <w:rPr>
                <w:color w:val="000000"/>
                <w:sz w:val="16"/>
                <w:szCs w:val="16"/>
                <w:lang w:eastAsia="en-NZ"/>
              </w:rPr>
              <w:t> </w:t>
            </w:r>
          </w:p>
        </w:tc>
        <w:tc>
          <w:tcPr>
            <w:tcW w:w="0" w:type="auto"/>
            <w:tcBorders>
              <w:top w:val="nil"/>
              <w:left w:val="nil"/>
              <w:bottom w:val="nil"/>
              <w:right w:val="single" w:sz="4" w:space="0" w:color="auto"/>
            </w:tcBorders>
            <w:shd w:val="clear" w:color="auto" w:fill="auto"/>
            <w:noWrap/>
            <w:vAlign w:val="bottom"/>
            <w:hideMark/>
          </w:tcPr>
          <w:p w:rsidR="00AE7E6E" w:rsidRPr="00AE7E6E" w:rsidRDefault="00AE7E6E" w:rsidP="00AE7E6E">
            <w:pPr>
              <w:spacing w:before="0" w:after="0" w:line="240" w:lineRule="auto"/>
              <w:rPr>
                <w:color w:val="000000"/>
                <w:sz w:val="16"/>
                <w:szCs w:val="16"/>
                <w:lang w:eastAsia="en-NZ"/>
              </w:rPr>
            </w:pPr>
            <w:r w:rsidRPr="00AE7E6E">
              <w:rPr>
                <w:color w:val="000000"/>
                <w:sz w:val="16"/>
                <w:szCs w:val="16"/>
                <w:lang w:eastAsia="en-NZ"/>
              </w:rPr>
              <w:t>People residing in these h'holds</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49,450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49,130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49,040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24,880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36,200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25,910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48,320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38,500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3,990</w:t>
            </w:r>
          </w:p>
        </w:tc>
        <w:tc>
          <w:tcPr>
            <w:tcW w:w="0" w:type="auto"/>
            <w:tcBorders>
              <w:top w:val="nil"/>
              <w:left w:val="single" w:sz="4" w:space="0" w:color="auto"/>
              <w:bottom w:val="nil"/>
              <w:right w:val="single" w:sz="4" w:space="0" w:color="auto"/>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49,450</w:t>
            </w:r>
          </w:p>
        </w:tc>
      </w:tr>
      <w:tr w:rsidR="00AE7E6E" w:rsidRPr="00AE7E6E" w:rsidTr="00AE7E6E">
        <w:tc>
          <w:tcPr>
            <w:tcW w:w="0" w:type="auto"/>
            <w:tcBorders>
              <w:top w:val="nil"/>
              <w:left w:val="single" w:sz="4" w:space="0" w:color="auto"/>
              <w:bottom w:val="nil"/>
              <w:right w:val="nil"/>
            </w:tcBorders>
            <w:shd w:val="clear" w:color="auto" w:fill="auto"/>
            <w:noWrap/>
            <w:vAlign w:val="bottom"/>
            <w:hideMark/>
          </w:tcPr>
          <w:p w:rsidR="00AE7E6E" w:rsidRPr="00AE7E6E" w:rsidRDefault="00AE7E6E" w:rsidP="00AE7E6E">
            <w:pPr>
              <w:spacing w:before="0" w:after="0" w:line="240" w:lineRule="auto"/>
              <w:rPr>
                <w:color w:val="000000"/>
                <w:sz w:val="16"/>
                <w:szCs w:val="16"/>
                <w:lang w:eastAsia="en-NZ"/>
              </w:rPr>
            </w:pPr>
            <w:r w:rsidRPr="00AE7E6E">
              <w:rPr>
                <w:color w:val="000000"/>
                <w:sz w:val="16"/>
                <w:szCs w:val="16"/>
                <w:lang w:eastAsia="en-NZ"/>
              </w:rPr>
              <w:t> </w:t>
            </w:r>
          </w:p>
        </w:tc>
        <w:tc>
          <w:tcPr>
            <w:tcW w:w="0" w:type="auto"/>
            <w:tcBorders>
              <w:top w:val="nil"/>
              <w:left w:val="nil"/>
              <w:bottom w:val="nil"/>
              <w:right w:val="single" w:sz="4" w:space="0" w:color="auto"/>
            </w:tcBorders>
            <w:shd w:val="clear" w:color="auto" w:fill="auto"/>
            <w:noWrap/>
            <w:vAlign w:val="bottom"/>
            <w:hideMark/>
          </w:tcPr>
          <w:p w:rsidR="00AE7E6E" w:rsidRPr="00AE7E6E" w:rsidRDefault="00AE7E6E" w:rsidP="00AE7E6E">
            <w:pPr>
              <w:spacing w:before="0" w:after="0" w:line="240" w:lineRule="auto"/>
              <w:rPr>
                <w:color w:val="000000"/>
                <w:sz w:val="16"/>
                <w:szCs w:val="16"/>
                <w:lang w:eastAsia="en-NZ"/>
              </w:rPr>
            </w:pPr>
            <w:r w:rsidRPr="00AE7E6E">
              <w:rPr>
                <w:color w:val="000000"/>
                <w:sz w:val="16"/>
                <w:szCs w:val="16"/>
                <w:lang w:eastAsia="en-NZ"/>
              </w:rPr>
              <w:t>Average h'hold expenditure</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42,100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12,000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19,700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1,400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12,600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9,400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8,100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8,000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15,400</w:t>
            </w:r>
          </w:p>
        </w:tc>
        <w:tc>
          <w:tcPr>
            <w:tcW w:w="0" w:type="auto"/>
            <w:tcBorders>
              <w:top w:val="nil"/>
              <w:left w:val="single" w:sz="4" w:space="0" w:color="auto"/>
              <w:bottom w:val="nil"/>
              <w:right w:val="single" w:sz="4" w:space="0" w:color="auto"/>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102,700</w:t>
            </w:r>
          </w:p>
        </w:tc>
      </w:tr>
      <w:tr w:rsidR="00AE7E6E" w:rsidRPr="00AE7E6E" w:rsidTr="00AE7E6E">
        <w:tc>
          <w:tcPr>
            <w:tcW w:w="0" w:type="auto"/>
            <w:tcBorders>
              <w:top w:val="nil"/>
              <w:left w:val="single" w:sz="4" w:space="0" w:color="auto"/>
              <w:bottom w:val="single" w:sz="4" w:space="0" w:color="808080" w:themeColor="background1" w:themeShade="80"/>
              <w:right w:val="nil"/>
            </w:tcBorders>
            <w:shd w:val="clear" w:color="auto" w:fill="auto"/>
            <w:noWrap/>
            <w:vAlign w:val="bottom"/>
            <w:hideMark/>
          </w:tcPr>
          <w:p w:rsidR="00AE7E6E" w:rsidRPr="00AE7E6E" w:rsidRDefault="00AE7E6E" w:rsidP="00AE7E6E">
            <w:pPr>
              <w:spacing w:before="0" w:after="0" w:line="240" w:lineRule="auto"/>
              <w:rPr>
                <w:color w:val="000000"/>
                <w:sz w:val="16"/>
                <w:szCs w:val="16"/>
                <w:lang w:eastAsia="en-NZ"/>
              </w:rPr>
            </w:pPr>
            <w:r w:rsidRPr="00AE7E6E">
              <w:rPr>
                <w:color w:val="000000"/>
                <w:sz w:val="16"/>
                <w:szCs w:val="16"/>
                <w:lang w:eastAsia="en-NZ"/>
              </w:rPr>
              <w:t> </w:t>
            </w:r>
          </w:p>
        </w:tc>
        <w:tc>
          <w:tcPr>
            <w:tcW w:w="0" w:type="auto"/>
            <w:tcBorders>
              <w:top w:val="nil"/>
              <w:left w:val="nil"/>
              <w:bottom w:val="single" w:sz="4" w:space="0" w:color="808080" w:themeColor="background1" w:themeShade="80"/>
              <w:right w:val="single" w:sz="4" w:space="0" w:color="auto"/>
            </w:tcBorders>
            <w:shd w:val="clear" w:color="auto" w:fill="auto"/>
            <w:noWrap/>
            <w:vAlign w:val="bottom"/>
            <w:hideMark/>
          </w:tcPr>
          <w:p w:rsidR="00AE7E6E" w:rsidRPr="00AE7E6E" w:rsidRDefault="00AE7E6E" w:rsidP="00AE7E6E">
            <w:pPr>
              <w:spacing w:before="0" w:after="0" w:line="240" w:lineRule="auto"/>
              <w:rPr>
                <w:color w:val="000000"/>
                <w:sz w:val="16"/>
                <w:szCs w:val="16"/>
                <w:lang w:eastAsia="en-NZ"/>
              </w:rPr>
            </w:pPr>
            <w:r w:rsidRPr="00AE7E6E">
              <w:rPr>
                <w:color w:val="000000"/>
                <w:sz w:val="16"/>
                <w:szCs w:val="16"/>
                <w:lang w:eastAsia="en-NZ"/>
              </w:rPr>
              <w:t>Average per capita expenditure</w:t>
            </w:r>
          </w:p>
        </w:tc>
        <w:tc>
          <w:tcPr>
            <w:tcW w:w="0" w:type="auto"/>
            <w:tcBorders>
              <w:top w:val="nil"/>
              <w:left w:val="nil"/>
              <w:bottom w:val="single" w:sz="4" w:space="0" w:color="808080" w:themeColor="background1" w:themeShade="80"/>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8,300</w:t>
            </w:r>
          </w:p>
        </w:tc>
        <w:tc>
          <w:tcPr>
            <w:tcW w:w="0" w:type="auto"/>
            <w:tcBorders>
              <w:top w:val="nil"/>
              <w:left w:val="nil"/>
              <w:bottom w:val="single" w:sz="4" w:space="0" w:color="808080" w:themeColor="background1" w:themeShade="80"/>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2,400</w:t>
            </w:r>
          </w:p>
        </w:tc>
        <w:tc>
          <w:tcPr>
            <w:tcW w:w="0" w:type="auto"/>
            <w:tcBorders>
              <w:top w:val="nil"/>
              <w:left w:val="nil"/>
              <w:bottom w:val="single" w:sz="4" w:space="0" w:color="808080" w:themeColor="background1" w:themeShade="80"/>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3,900</w:t>
            </w:r>
          </w:p>
        </w:tc>
        <w:tc>
          <w:tcPr>
            <w:tcW w:w="0" w:type="auto"/>
            <w:tcBorders>
              <w:top w:val="nil"/>
              <w:left w:val="nil"/>
              <w:bottom w:val="single" w:sz="4" w:space="0" w:color="808080" w:themeColor="background1" w:themeShade="80"/>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300</w:t>
            </w:r>
          </w:p>
        </w:tc>
        <w:tc>
          <w:tcPr>
            <w:tcW w:w="0" w:type="auto"/>
            <w:tcBorders>
              <w:top w:val="nil"/>
              <w:left w:val="nil"/>
              <w:bottom w:val="single" w:sz="4" w:space="0" w:color="808080" w:themeColor="background1" w:themeShade="80"/>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2,400</w:t>
            </w:r>
          </w:p>
        </w:tc>
        <w:tc>
          <w:tcPr>
            <w:tcW w:w="0" w:type="auto"/>
            <w:tcBorders>
              <w:top w:val="nil"/>
              <w:left w:val="nil"/>
              <w:bottom w:val="single" w:sz="4" w:space="0" w:color="808080" w:themeColor="background1" w:themeShade="80"/>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1,800</w:t>
            </w:r>
          </w:p>
        </w:tc>
        <w:tc>
          <w:tcPr>
            <w:tcW w:w="0" w:type="auto"/>
            <w:tcBorders>
              <w:top w:val="nil"/>
              <w:left w:val="nil"/>
              <w:bottom w:val="single" w:sz="4" w:space="0" w:color="808080" w:themeColor="background1" w:themeShade="80"/>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1,600</w:t>
            </w:r>
          </w:p>
        </w:tc>
        <w:tc>
          <w:tcPr>
            <w:tcW w:w="0" w:type="auto"/>
            <w:tcBorders>
              <w:top w:val="nil"/>
              <w:left w:val="nil"/>
              <w:bottom w:val="single" w:sz="4" w:space="0" w:color="808080" w:themeColor="background1" w:themeShade="80"/>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1,500</w:t>
            </w:r>
          </w:p>
        </w:tc>
        <w:tc>
          <w:tcPr>
            <w:tcW w:w="0" w:type="auto"/>
            <w:tcBorders>
              <w:top w:val="nil"/>
              <w:left w:val="nil"/>
              <w:bottom w:val="single" w:sz="4" w:space="0" w:color="808080" w:themeColor="background1" w:themeShade="80"/>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2,600</w:t>
            </w:r>
          </w:p>
        </w:tc>
        <w:tc>
          <w:tcPr>
            <w:tcW w:w="0" w:type="auto"/>
            <w:tcBorders>
              <w:top w:val="nil"/>
              <w:left w:val="single" w:sz="4" w:space="0" w:color="auto"/>
              <w:bottom w:val="single" w:sz="4" w:space="0" w:color="808080" w:themeColor="background1" w:themeShade="80"/>
              <w:right w:val="single" w:sz="4" w:space="0" w:color="auto"/>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20,300</w:t>
            </w:r>
          </w:p>
        </w:tc>
      </w:tr>
      <w:tr w:rsidR="00AE7E6E" w:rsidRPr="00AE7E6E" w:rsidTr="00AE7E6E">
        <w:tc>
          <w:tcPr>
            <w:tcW w:w="0" w:type="auto"/>
            <w:tcBorders>
              <w:top w:val="single" w:sz="4" w:space="0" w:color="808080" w:themeColor="background1" w:themeShade="80"/>
              <w:bottom w:val="nil"/>
            </w:tcBorders>
            <w:shd w:val="clear" w:color="auto" w:fill="auto"/>
            <w:noWrap/>
            <w:vAlign w:val="bottom"/>
          </w:tcPr>
          <w:p w:rsidR="00AE7E6E" w:rsidRPr="00AE7E6E" w:rsidRDefault="00AE7E6E" w:rsidP="00AE7E6E">
            <w:pPr>
              <w:spacing w:before="0" w:after="0" w:line="240" w:lineRule="auto"/>
              <w:rPr>
                <w:b/>
                <w:bCs/>
                <w:color w:val="000000"/>
                <w:sz w:val="16"/>
                <w:szCs w:val="16"/>
                <w:lang w:eastAsia="en-NZ"/>
              </w:rPr>
            </w:pPr>
          </w:p>
        </w:tc>
        <w:tc>
          <w:tcPr>
            <w:tcW w:w="0" w:type="auto"/>
            <w:tcBorders>
              <w:top w:val="single" w:sz="4" w:space="0" w:color="808080" w:themeColor="background1" w:themeShade="80"/>
              <w:bottom w:val="nil"/>
            </w:tcBorders>
            <w:shd w:val="clear" w:color="auto" w:fill="auto"/>
            <w:noWrap/>
            <w:vAlign w:val="bottom"/>
          </w:tcPr>
          <w:p w:rsidR="00AE7E6E" w:rsidRPr="00AE7E6E" w:rsidRDefault="00AE7E6E" w:rsidP="00AE7E6E">
            <w:pPr>
              <w:spacing w:before="0" w:after="0" w:line="240" w:lineRule="auto"/>
              <w:rPr>
                <w:b/>
                <w:bCs/>
                <w:color w:val="000000"/>
                <w:sz w:val="16"/>
                <w:szCs w:val="16"/>
                <w:lang w:eastAsia="en-NZ"/>
              </w:rPr>
            </w:pPr>
          </w:p>
        </w:tc>
        <w:tc>
          <w:tcPr>
            <w:tcW w:w="0" w:type="auto"/>
            <w:tcBorders>
              <w:top w:val="single" w:sz="4" w:space="0" w:color="808080" w:themeColor="background1" w:themeShade="80"/>
              <w:bottom w:val="nil"/>
            </w:tcBorders>
            <w:shd w:val="clear" w:color="auto" w:fill="auto"/>
            <w:noWrap/>
            <w:vAlign w:val="bottom"/>
          </w:tcPr>
          <w:p w:rsidR="00AE7E6E" w:rsidRPr="00AE7E6E" w:rsidRDefault="00AE7E6E" w:rsidP="00AE7E6E">
            <w:pPr>
              <w:spacing w:before="0" w:after="0" w:line="240" w:lineRule="auto"/>
              <w:jc w:val="right"/>
              <w:rPr>
                <w:b/>
                <w:bCs/>
                <w:color w:val="000000"/>
                <w:sz w:val="16"/>
                <w:szCs w:val="16"/>
                <w:lang w:eastAsia="en-NZ"/>
              </w:rPr>
            </w:pPr>
          </w:p>
        </w:tc>
        <w:tc>
          <w:tcPr>
            <w:tcW w:w="0" w:type="auto"/>
            <w:tcBorders>
              <w:top w:val="single" w:sz="4" w:space="0" w:color="808080" w:themeColor="background1" w:themeShade="80"/>
              <w:bottom w:val="nil"/>
            </w:tcBorders>
            <w:shd w:val="clear" w:color="auto" w:fill="auto"/>
            <w:noWrap/>
            <w:vAlign w:val="bottom"/>
          </w:tcPr>
          <w:p w:rsidR="00AE7E6E" w:rsidRPr="00AE7E6E" w:rsidRDefault="00AE7E6E" w:rsidP="00AE7E6E">
            <w:pPr>
              <w:spacing w:before="0" w:after="0" w:line="240" w:lineRule="auto"/>
              <w:jc w:val="right"/>
              <w:rPr>
                <w:b/>
                <w:bCs/>
                <w:color w:val="000000"/>
                <w:sz w:val="16"/>
                <w:szCs w:val="16"/>
                <w:lang w:eastAsia="en-NZ"/>
              </w:rPr>
            </w:pPr>
          </w:p>
        </w:tc>
        <w:tc>
          <w:tcPr>
            <w:tcW w:w="0" w:type="auto"/>
            <w:tcBorders>
              <w:top w:val="single" w:sz="4" w:space="0" w:color="808080" w:themeColor="background1" w:themeShade="80"/>
              <w:bottom w:val="nil"/>
            </w:tcBorders>
            <w:shd w:val="clear" w:color="auto" w:fill="auto"/>
            <w:noWrap/>
            <w:vAlign w:val="bottom"/>
          </w:tcPr>
          <w:p w:rsidR="00AE7E6E" w:rsidRPr="00AE7E6E" w:rsidRDefault="00AE7E6E" w:rsidP="00AE7E6E">
            <w:pPr>
              <w:spacing w:before="0" w:after="0" w:line="240" w:lineRule="auto"/>
              <w:jc w:val="right"/>
              <w:rPr>
                <w:b/>
                <w:bCs/>
                <w:color w:val="000000"/>
                <w:sz w:val="16"/>
                <w:szCs w:val="16"/>
                <w:lang w:eastAsia="en-NZ"/>
              </w:rPr>
            </w:pPr>
          </w:p>
        </w:tc>
        <w:tc>
          <w:tcPr>
            <w:tcW w:w="0" w:type="auto"/>
            <w:tcBorders>
              <w:top w:val="single" w:sz="4" w:space="0" w:color="808080" w:themeColor="background1" w:themeShade="80"/>
              <w:bottom w:val="nil"/>
            </w:tcBorders>
            <w:shd w:val="clear" w:color="auto" w:fill="auto"/>
            <w:noWrap/>
            <w:vAlign w:val="bottom"/>
          </w:tcPr>
          <w:p w:rsidR="00AE7E6E" w:rsidRPr="00AE7E6E" w:rsidRDefault="00AE7E6E" w:rsidP="00AE7E6E">
            <w:pPr>
              <w:spacing w:before="0" w:after="0" w:line="240" w:lineRule="auto"/>
              <w:jc w:val="right"/>
              <w:rPr>
                <w:b/>
                <w:bCs/>
                <w:color w:val="000000"/>
                <w:sz w:val="16"/>
                <w:szCs w:val="16"/>
                <w:lang w:eastAsia="en-NZ"/>
              </w:rPr>
            </w:pPr>
          </w:p>
        </w:tc>
        <w:tc>
          <w:tcPr>
            <w:tcW w:w="0" w:type="auto"/>
            <w:tcBorders>
              <w:top w:val="single" w:sz="4" w:space="0" w:color="808080" w:themeColor="background1" w:themeShade="80"/>
              <w:bottom w:val="nil"/>
            </w:tcBorders>
            <w:shd w:val="clear" w:color="auto" w:fill="auto"/>
            <w:noWrap/>
            <w:vAlign w:val="bottom"/>
          </w:tcPr>
          <w:p w:rsidR="00AE7E6E" w:rsidRPr="00AE7E6E" w:rsidRDefault="00AE7E6E" w:rsidP="00AE7E6E">
            <w:pPr>
              <w:spacing w:before="0" w:after="0" w:line="240" w:lineRule="auto"/>
              <w:jc w:val="right"/>
              <w:rPr>
                <w:b/>
                <w:bCs/>
                <w:color w:val="000000"/>
                <w:sz w:val="16"/>
                <w:szCs w:val="16"/>
                <w:lang w:eastAsia="en-NZ"/>
              </w:rPr>
            </w:pPr>
          </w:p>
        </w:tc>
        <w:tc>
          <w:tcPr>
            <w:tcW w:w="0" w:type="auto"/>
            <w:tcBorders>
              <w:top w:val="single" w:sz="4" w:space="0" w:color="808080" w:themeColor="background1" w:themeShade="80"/>
              <w:bottom w:val="nil"/>
            </w:tcBorders>
            <w:shd w:val="clear" w:color="auto" w:fill="auto"/>
            <w:noWrap/>
            <w:vAlign w:val="bottom"/>
          </w:tcPr>
          <w:p w:rsidR="00AE7E6E" w:rsidRPr="00AE7E6E" w:rsidRDefault="00AE7E6E" w:rsidP="00AE7E6E">
            <w:pPr>
              <w:spacing w:before="0" w:after="0" w:line="240" w:lineRule="auto"/>
              <w:jc w:val="right"/>
              <w:rPr>
                <w:b/>
                <w:bCs/>
                <w:color w:val="000000"/>
                <w:sz w:val="16"/>
                <w:szCs w:val="16"/>
                <w:lang w:eastAsia="en-NZ"/>
              </w:rPr>
            </w:pPr>
          </w:p>
        </w:tc>
        <w:tc>
          <w:tcPr>
            <w:tcW w:w="0" w:type="auto"/>
            <w:tcBorders>
              <w:top w:val="single" w:sz="4" w:space="0" w:color="808080" w:themeColor="background1" w:themeShade="80"/>
              <w:bottom w:val="nil"/>
            </w:tcBorders>
            <w:shd w:val="clear" w:color="auto" w:fill="auto"/>
            <w:noWrap/>
            <w:vAlign w:val="bottom"/>
          </w:tcPr>
          <w:p w:rsidR="00AE7E6E" w:rsidRPr="00AE7E6E" w:rsidRDefault="00AE7E6E" w:rsidP="00AE7E6E">
            <w:pPr>
              <w:spacing w:before="0" w:after="0" w:line="240" w:lineRule="auto"/>
              <w:jc w:val="right"/>
              <w:rPr>
                <w:b/>
                <w:bCs/>
                <w:color w:val="000000"/>
                <w:sz w:val="16"/>
                <w:szCs w:val="16"/>
                <w:lang w:eastAsia="en-NZ"/>
              </w:rPr>
            </w:pPr>
          </w:p>
        </w:tc>
        <w:tc>
          <w:tcPr>
            <w:tcW w:w="0" w:type="auto"/>
            <w:tcBorders>
              <w:top w:val="single" w:sz="4" w:space="0" w:color="808080" w:themeColor="background1" w:themeShade="80"/>
              <w:bottom w:val="nil"/>
            </w:tcBorders>
            <w:shd w:val="clear" w:color="auto" w:fill="auto"/>
            <w:noWrap/>
            <w:vAlign w:val="bottom"/>
          </w:tcPr>
          <w:p w:rsidR="00AE7E6E" w:rsidRPr="00AE7E6E" w:rsidRDefault="00AE7E6E" w:rsidP="00AE7E6E">
            <w:pPr>
              <w:spacing w:before="0" w:after="0" w:line="240" w:lineRule="auto"/>
              <w:jc w:val="right"/>
              <w:rPr>
                <w:b/>
                <w:bCs/>
                <w:color w:val="000000"/>
                <w:sz w:val="16"/>
                <w:szCs w:val="16"/>
                <w:lang w:eastAsia="en-NZ"/>
              </w:rPr>
            </w:pPr>
          </w:p>
        </w:tc>
        <w:tc>
          <w:tcPr>
            <w:tcW w:w="0" w:type="auto"/>
            <w:tcBorders>
              <w:top w:val="single" w:sz="4" w:space="0" w:color="808080" w:themeColor="background1" w:themeShade="80"/>
              <w:bottom w:val="nil"/>
            </w:tcBorders>
            <w:shd w:val="clear" w:color="auto" w:fill="auto"/>
            <w:noWrap/>
            <w:vAlign w:val="bottom"/>
          </w:tcPr>
          <w:p w:rsidR="00AE7E6E" w:rsidRPr="00AE7E6E" w:rsidRDefault="00AE7E6E" w:rsidP="00AE7E6E">
            <w:pPr>
              <w:spacing w:before="0" w:after="0" w:line="240" w:lineRule="auto"/>
              <w:jc w:val="right"/>
              <w:rPr>
                <w:b/>
                <w:bCs/>
                <w:color w:val="000000"/>
                <w:sz w:val="16"/>
                <w:szCs w:val="16"/>
                <w:lang w:eastAsia="en-NZ"/>
              </w:rPr>
            </w:pPr>
          </w:p>
        </w:tc>
        <w:tc>
          <w:tcPr>
            <w:tcW w:w="0" w:type="auto"/>
            <w:tcBorders>
              <w:top w:val="single" w:sz="4" w:space="0" w:color="808080" w:themeColor="background1" w:themeShade="80"/>
              <w:bottom w:val="nil"/>
            </w:tcBorders>
            <w:shd w:val="clear" w:color="auto" w:fill="auto"/>
            <w:noWrap/>
            <w:vAlign w:val="bottom"/>
          </w:tcPr>
          <w:p w:rsidR="00AE7E6E" w:rsidRPr="00AE7E6E" w:rsidRDefault="00AE7E6E" w:rsidP="00AE7E6E">
            <w:pPr>
              <w:spacing w:before="0" w:after="0" w:line="240" w:lineRule="auto"/>
              <w:jc w:val="right"/>
              <w:rPr>
                <w:bCs/>
                <w:i/>
                <w:color w:val="000000"/>
                <w:sz w:val="16"/>
                <w:szCs w:val="16"/>
                <w:lang w:eastAsia="en-NZ"/>
              </w:rPr>
            </w:pPr>
            <w:r w:rsidRPr="00AE7E6E">
              <w:rPr>
                <w:bCs/>
                <w:i/>
                <w:color w:val="000000"/>
                <w:sz w:val="16"/>
                <w:szCs w:val="16"/>
                <w:lang w:eastAsia="en-NZ"/>
              </w:rPr>
              <w:t>Continued …</w:t>
            </w:r>
          </w:p>
        </w:tc>
      </w:tr>
      <w:tr w:rsidR="00AE7E6E" w:rsidRPr="00AE7E6E" w:rsidTr="00AE7E6E">
        <w:tc>
          <w:tcPr>
            <w:tcW w:w="0" w:type="auto"/>
            <w:tcBorders>
              <w:bottom w:val="nil"/>
            </w:tcBorders>
            <w:shd w:val="clear" w:color="auto" w:fill="auto"/>
            <w:noWrap/>
            <w:vAlign w:val="bottom"/>
          </w:tcPr>
          <w:p w:rsidR="00AE7E6E" w:rsidRPr="00AE7E6E" w:rsidRDefault="00AE7E6E" w:rsidP="00AE7E6E">
            <w:pPr>
              <w:spacing w:before="0" w:after="0" w:line="240" w:lineRule="auto"/>
              <w:rPr>
                <w:b/>
                <w:bCs/>
                <w:color w:val="000000"/>
                <w:sz w:val="16"/>
                <w:szCs w:val="16"/>
                <w:lang w:eastAsia="en-NZ"/>
              </w:rPr>
            </w:pPr>
          </w:p>
        </w:tc>
        <w:tc>
          <w:tcPr>
            <w:tcW w:w="0" w:type="auto"/>
            <w:tcBorders>
              <w:bottom w:val="nil"/>
            </w:tcBorders>
            <w:shd w:val="clear" w:color="auto" w:fill="auto"/>
            <w:noWrap/>
            <w:vAlign w:val="bottom"/>
          </w:tcPr>
          <w:p w:rsidR="00AE7E6E" w:rsidRPr="00AE7E6E" w:rsidRDefault="00AE7E6E" w:rsidP="00AE7E6E">
            <w:pPr>
              <w:spacing w:before="0" w:after="0" w:line="240" w:lineRule="auto"/>
              <w:rPr>
                <w:b/>
                <w:bCs/>
                <w:color w:val="000000"/>
                <w:sz w:val="16"/>
                <w:szCs w:val="16"/>
                <w:lang w:eastAsia="en-NZ"/>
              </w:rPr>
            </w:pPr>
          </w:p>
        </w:tc>
        <w:tc>
          <w:tcPr>
            <w:tcW w:w="0" w:type="auto"/>
            <w:tcBorders>
              <w:bottom w:val="nil"/>
            </w:tcBorders>
            <w:shd w:val="clear" w:color="auto" w:fill="auto"/>
            <w:noWrap/>
            <w:vAlign w:val="bottom"/>
          </w:tcPr>
          <w:p w:rsidR="00AE7E6E" w:rsidRPr="00AE7E6E" w:rsidRDefault="00AE7E6E" w:rsidP="00AE7E6E">
            <w:pPr>
              <w:spacing w:before="0" w:after="0" w:line="240" w:lineRule="auto"/>
              <w:jc w:val="right"/>
              <w:rPr>
                <w:b/>
                <w:bCs/>
                <w:color w:val="000000"/>
                <w:sz w:val="16"/>
                <w:szCs w:val="16"/>
                <w:lang w:eastAsia="en-NZ"/>
              </w:rPr>
            </w:pPr>
          </w:p>
        </w:tc>
        <w:tc>
          <w:tcPr>
            <w:tcW w:w="0" w:type="auto"/>
            <w:tcBorders>
              <w:bottom w:val="nil"/>
            </w:tcBorders>
            <w:shd w:val="clear" w:color="auto" w:fill="auto"/>
            <w:noWrap/>
            <w:vAlign w:val="bottom"/>
          </w:tcPr>
          <w:p w:rsidR="00AE7E6E" w:rsidRPr="00AE7E6E" w:rsidRDefault="00AE7E6E" w:rsidP="00AE7E6E">
            <w:pPr>
              <w:spacing w:before="0" w:after="0" w:line="240" w:lineRule="auto"/>
              <w:jc w:val="right"/>
              <w:rPr>
                <w:b/>
                <w:bCs/>
                <w:color w:val="000000"/>
                <w:sz w:val="16"/>
                <w:szCs w:val="16"/>
                <w:lang w:eastAsia="en-NZ"/>
              </w:rPr>
            </w:pPr>
          </w:p>
        </w:tc>
        <w:tc>
          <w:tcPr>
            <w:tcW w:w="0" w:type="auto"/>
            <w:tcBorders>
              <w:bottom w:val="nil"/>
            </w:tcBorders>
            <w:shd w:val="clear" w:color="auto" w:fill="auto"/>
            <w:noWrap/>
            <w:vAlign w:val="bottom"/>
          </w:tcPr>
          <w:p w:rsidR="00AE7E6E" w:rsidRPr="00AE7E6E" w:rsidRDefault="00AE7E6E" w:rsidP="00AE7E6E">
            <w:pPr>
              <w:spacing w:before="0" w:after="0" w:line="240" w:lineRule="auto"/>
              <w:jc w:val="right"/>
              <w:rPr>
                <w:b/>
                <w:bCs/>
                <w:color w:val="000000"/>
                <w:sz w:val="16"/>
                <w:szCs w:val="16"/>
                <w:lang w:eastAsia="en-NZ"/>
              </w:rPr>
            </w:pPr>
          </w:p>
        </w:tc>
        <w:tc>
          <w:tcPr>
            <w:tcW w:w="0" w:type="auto"/>
            <w:tcBorders>
              <w:bottom w:val="nil"/>
            </w:tcBorders>
            <w:shd w:val="clear" w:color="auto" w:fill="auto"/>
            <w:noWrap/>
            <w:vAlign w:val="bottom"/>
          </w:tcPr>
          <w:p w:rsidR="00AE7E6E" w:rsidRPr="00AE7E6E" w:rsidRDefault="00AE7E6E" w:rsidP="00AE7E6E">
            <w:pPr>
              <w:spacing w:before="0" w:after="0" w:line="240" w:lineRule="auto"/>
              <w:jc w:val="right"/>
              <w:rPr>
                <w:b/>
                <w:bCs/>
                <w:color w:val="000000"/>
                <w:sz w:val="16"/>
                <w:szCs w:val="16"/>
                <w:lang w:eastAsia="en-NZ"/>
              </w:rPr>
            </w:pPr>
          </w:p>
        </w:tc>
        <w:tc>
          <w:tcPr>
            <w:tcW w:w="0" w:type="auto"/>
            <w:tcBorders>
              <w:bottom w:val="nil"/>
            </w:tcBorders>
            <w:shd w:val="clear" w:color="auto" w:fill="auto"/>
            <w:noWrap/>
            <w:vAlign w:val="bottom"/>
          </w:tcPr>
          <w:p w:rsidR="00AE7E6E" w:rsidRPr="00AE7E6E" w:rsidRDefault="00AE7E6E" w:rsidP="00AE7E6E">
            <w:pPr>
              <w:spacing w:before="0" w:after="0" w:line="240" w:lineRule="auto"/>
              <w:jc w:val="right"/>
              <w:rPr>
                <w:b/>
                <w:bCs/>
                <w:color w:val="000000"/>
                <w:sz w:val="16"/>
                <w:szCs w:val="16"/>
                <w:lang w:eastAsia="en-NZ"/>
              </w:rPr>
            </w:pPr>
          </w:p>
        </w:tc>
        <w:tc>
          <w:tcPr>
            <w:tcW w:w="0" w:type="auto"/>
            <w:tcBorders>
              <w:bottom w:val="nil"/>
            </w:tcBorders>
            <w:shd w:val="clear" w:color="auto" w:fill="auto"/>
            <w:noWrap/>
            <w:vAlign w:val="bottom"/>
          </w:tcPr>
          <w:p w:rsidR="00AE7E6E" w:rsidRPr="00AE7E6E" w:rsidRDefault="00AE7E6E" w:rsidP="00AE7E6E">
            <w:pPr>
              <w:spacing w:before="0" w:after="0" w:line="240" w:lineRule="auto"/>
              <w:jc w:val="right"/>
              <w:rPr>
                <w:b/>
                <w:bCs/>
                <w:color w:val="000000"/>
                <w:sz w:val="16"/>
                <w:szCs w:val="16"/>
                <w:lang w:eastAsia="en-NZ"/>
              </w:rPr>
            </w:pPr>
          </w:p>
        </w:tc>
        <w:tc>
          <w:tcPr>
            <w:tcW w:w="0" w:type="auto"/>
            <w:tcBorders>
              <w:bottom w:val="nil"/>
            </w:tcBorders>
            <w:shd w:val="clear" w:color="auto" w:fill="auto"/>
            <w:noWrap/>
            <w:vAlign w:val="bottom"/>
          </w:tcPr>
          <w:p w:rsidR="00AE7E6E" w:rsidRPr="00AE7E6E" w:rsidRDefault="00AE7E6E" w:rsidP="00AE7E6E">
            <w:pPr>
              <w:spacing w:before="0" w:after="0" w:line="240" w:lineRule="auto"/>
              <w:jc w:val="right"/>
              <w:rPr>
                <w:b/>
                <w:bCs/>
                <w:color w:val="000000"/>
                <w:sz w:val="16"/>
                <w:szCs w:val="16"/>
                <w:lang w:eastAsia="en-NZ"/>
              </w:rPr>
            </w:pPr>
          </w:p>
        </w:tc>
        <w:tc>
          <w:tcPr>
            <w:tcW w:w="0" w:type="auto"/>
            <w:tcBorders>
              <w:bottom w:val="nil"/>
            </w:tcBorders>
            <w:shd w:val="clear" w:color="auto" w:fill="auto"/>
            <w:noWrap/>
            <w:vAlign w:val="bottom"/>
          </w:tcPr>
          <w:p w:rsidR="00AE7E6E" w:rsidRPr="00AE7E6E" w:rsidRDefault="00AE7E6E" w:rsidP="00AE7E6E">
            <w:pPr>
              <w:spacing w:before="0" w:after="0" w:line="240" w:lineRule="auto"/>
              <w:jc w:val="right"/>
              <w:rPr>
                <w:b/>
                <w:bCs/>
                <w:color w:val="000000"/>
                <w:sz w:val="16"/>
                <w:szCs w:val="16"/>
                <w:lang w:eastAsia="en-NZ"/>
              </w:rPr>
            </w:pPr>
          </w:p>
        </w:tc>
        <w:tc>
          <w:tcPr>
            <w:tcW w:w="0" w:type="auto"/>
            <w:tcBorders>
              <w:bottom w:val="nil"/>
            </w:tcBorders>
            <w:shd w:val="clear" w:color="auto" w:fill="auto"/>
            <w:noWrap/>
            <w:vAlign w:val="bottom"/>
          </w:tcPr>
          <w:p w:rsidR="00AE7E6E" w:rsidRPr="00AE7E6E" w:rsidRDefault="00AE7E6E" w:rsidP="00AE7E6E">
            <w:pPr>
              <w:spacing w:before="0" w:after="0" w:line="240" w:lineRule="auto"/>
              <w:jc w:val="right"/>
              <w:rPr>
                <w:b/>
                <w:bCs/>
                <w:color w:val="000000"/>
                <w:sz w:val="16"/>
                <w:szCs w:val="16"/>
                <w:lang w:eastAsia="en-NZ"/>
              </w:rPr>
            </w:pPr>
          </w:p>
        </w:tc>
        <w:tc>
          <w:tcPr>
            <w:tcW w:w="0" w:type="auto"/>
            <w:tcBorders>
              <w:bottom w:val="nil"/>
            </w:tcBorders>
            <w:shd w:val="clear" w:color="auto" w:fill="auto"/>
            <w:noWrap/>
            <w:vAlign w:val="bottom"/>
          </w:tcPr>
          <w:p w:rsidR="00AE7E6E" w:rsidRPr="00AE7E6E" w:rsidRDefault="00AE7E6E" w:rsidP="00AE7E6E">
            <w:pPr>
              <w:spacing w:before="0" w:after="0" w:line="240" w:lineRule="auto"/>
              <w:jc w:val="right"/>
              <w:rPr>
                <w:b/>
                <w:bCs/>
                <w:color w:val="000000"/>
                <w:sz w:val="16"/>
                <w:szCs w:val="16"/>
                <w:lang w:eastAsia="en-NZ"/>
              </w:rPr>
            </w:pPr>
          </w:p>
        </w:tc>
      </w:tr>
      <w:tr w:rsidR="00AE7E6E" w:rsidRPr="00AE7E6E" w:rsidTr="00AE7E6E">
        <w:tc>
          <w:tcPr>
            <w:tcW w:w="0" w:type="auto"/>
            <w:tcBorders>
              <w:top w:val="nil"/>
              <w:left w:val="single" w:sz="4" w:space="0" w:color="auto"/>
              <w:bottom w:val="nil"/>
              <w:right w:val="nil"/>
            </w:tcBorders>
            <w:shd w:val="clear" w:color="auto" w:fill="auto"/>
            <w:noWrap/>
            <w:vAlign w:val="bottom"/>
            <w:hideMark/>
          </w:tcPr>
          <w:p w:rsidR="00AE7E6E" w:rsidRPr="00AE7E6E" w:rsidRDefault="00AE7E6E" w:rsidP="00AE7E6E">
            <w:pPr>
              <w:spacing w:before="0" w:after="0" w:line="240" w:lineRule="auto"/>
              <w:rPr>
                <w:b/>
                <w:bCs/>
                <w:color w:val="000000"/>
                <w:sz w:val="16"/>
                <w:szCs w:val="16"/>
                <w:lang w:eastAsia="en-NZ"/>
              </w:rPr>
            </w:pPr>
            <w:r w:rsidRPr="00AE7E6E">
              <w:rPr>
                <w:b/>
                <w:bCs/>
                <w:color w:val="000000"/>
                <w:sz w:val="16"/>
                <w:szCs w:val="16"/>
                <w:lang w:eastAsia="en-NZ"/>
              </w:rPr>
              <w:lastRenderedPageBreak/>
              <w:t>Rural</w:t>
            </w:r>
          </w:p>
        </w:tc>
        <w:tc>
          <w:tcPr>
            <w:tcW w:w="0" w:type="auto"/>
            <w:tcBorders>
              <w:top w:val="nil"/>
              <w:left w:val="nil"/>
              <w:bottom w:val="nil"/>
              <w:right w:val="single" w:sz="4" w:space="0" w:color="auto"/>
            </w:tcBorders>
            <w:shd w:val="clear" w:color="auto" w:fill="auto"/>
            <w:noWrap/>
            <w:vAlign w:val="bottom"/>
            <w:hideMark/>
          </w:tcPr>
          <w:p w:rsidR="00AE7E6E" w:rsidRPr="00AE7E6E" w:rsidRDefault="00AE7E6E" w:rsidP="00AE7E6E">
            <w:pPr>
              <w:spacing w:before="0" w:after="0" w:line="240" w:lineRule="auto"/>
              <w:rPr>
                <w:b/>
                <w:bCs/>
                <w:color w:val="000000"/>
                <w:sz w:val="16"/>
                <w:szCs w:val="16"/>
                <w:lang w:eastAsia="en-NZ"/>
              </w:rPr>
            </w:pPr>
            <w:r w:rsidRPr="00AE7E6E">
              <w:rPr>
                <w:b/>
                <w:bCs/>
                <w:color w:val="000000"/>
                <w:sz w:val="16"/>
                <w:szCs w:val="16"/>
                <w:lang w:eastAsia="en-NZ"/>
              </w:rPr>
              <w:t>Total expenditure</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1,646,761,100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128,094,500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297,497,800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6,233,300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106,550,000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120,783,400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134,021,400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181,652,100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29,381,600</w:t>
            </w:r>
          </w:p>
        </w:tc>
        <w:tc>
          <w:tcPr>
            <w:tcW w:w="0" w:type="auto"/>
            <w:tcBorders>
              <w:top w:val="single" w:sz="4" w:space="0" w:color="auto"/>
              <w:left w:val="single" w:sz="4" w:space="0" w:color="auto"/>
              <w:bottom w:val="nil"/>
              <w:right w:val="single" w:sz="4" w:space="0" w:color="auto"/>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2,650,975,300</w:t>
            </w:r>
          </w:p>
        </w:tc>
      </w:tr>
      <w:tr w:rsidR="00AE7E6E" w:rsidRPr="00AE7E6E" w:rsidTr="00AE7E6E">
        <w:tc>
          <w:tcPr>
            <w:tcW w:w="0" w:type="auto"/>
            <w:tcBorders>
              <w:top w:val="nil"/>
              <w:left w:val="single" w:sz="4" w:space="0" w:color="auto"/>
              <w:bottom w:val="nil"/>
              <w:right w:val="nil"/>
            </w:tcBorders>
            <w:shd w:val="clear" w:color="auto" w:fill="auto"/>
            <w:noWrap/>
            <w:vAlign w:val="bottom"/>
            <w:hideMark/>
          </w:tcPr>
          <w:p w:rsidR="00AE7E6E" w:rsidRPr="00AE7E6E" w:rsidRDefault="00AE7E6E" w:rsidP="00AE7E6E">
            <w:pPr>
              <w:spacing w:before="0" w:after="0" w:line="240" w:lineRule="auto"/>
              <w:rPr>
                <w:color w:val="000000"/>
                <w:sz w:val="16"/>
                <w:szCs w:val="16"/>
                <w:lang w:eastAsia="en-NZ"/>
              </w:rPr>
            </w:pPr>
            <w:r w:rsidRPr="00AE7E6E">
              <w:rPr>
                <w:color w:val="000000"/>
                <w:sz w:val="16"/>
                <w:szCs w:val="16"/>
                <w:lang w:eastAsia="en-NZ"/>
              </w:rPr>
              <w:t> </w:t>
            </w:r>
          </w:p>
        </w:tc>
        <w:tc>
          <w:tcPr>
            <w:tcW w:w="0" w:type="auto"/>
            <w:tcBorders>
              <w:top w:val="nil"/>
              <w:left w:val="nil"/>
              <w:bottom w:val="nil"/>
              <w:right w:val="single" w:sz="4" w:space="0" w:color="auto"/>
            </w:tcBorders>
            <w:shd w:val="clear" w:color="auto" w:fill="auto"/>
            <w:noWrap/>
            <w:vAlign w:val="bottom"/>
            <w:hideMark/>
          </w:tcPr>
          <w:p w:rsidR="00AE7E6E" w:rsidRPr="00AE7E6E" w:rsidRDefault="00AE7E6E" w:rsidP="00AE7E6E">
            <w:pPr>
              <w:spacing w:before="0" w:after="0" w:line="240" w:lineRule="auto"/>
              <w:rPr>
                <w:color w:val="000000"/>
                <w:sz w:val="16"/>
                <w:szCs w:val="16"/>
                <w:lang w:eastAsia="en-NZ"/>
              </w:rPr>
            </w:pPr>
            <w:r w:rsidRPr="00AE7E6E">
              <w:rPr>
                <w:color w:val="000000"/>
                <w:sz w:val="16"/>
                <w:szCs w:val="16"/>
                <w:lang w:eastAsia="en-NZ"/>
              </w:rPr>
              <w:t>H'holds with expenditure</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38,270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38,190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36,700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9,630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19,810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22,560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33,770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26,240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4,280</w:t>
            </w:r>
          </w:p>
        </w:tc>
        <w:tc>
          <w:tcPr>
            <w:tcW w:w="0" w:type="auto"/>
            <w:tcBorders>
              <w:top w:val="nil"/>
              <w:left w:val="single" w:sz="4" w:space="0" w:color="auto"/>
              <w:bottom w:val="nil"/>
              <w:right w:val="single" w:sz="4" w:space="0" w:color="auto"/>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38,270</w:t>
            </w:r>
          </w:p>
        </w:tc>
      </w:tr>
      <w:tr w:rsidR="00AE7E6E" w:rsidRPr="00AE7E6E" w:rsidTr="00AE7E6E">
        <w:tc>
          <w:tcPr>
            <w:tcW w:w="0" w:type="auto"/>
            <w:tcBorders>
              <w:top w:val="nil"/>
              <w:left w:val="single" w:sz="4" w:space="0" w:color="auto"/>
              <w:bottom w:val="nil"/>
              <w:right w:val="nil"/>
            </w:tcBorders>
            <w:shd w:val="clear" w:color="auto" w:fill="auto"/>
            <w:noWrap/>
            <w:vAlign w:val="bottom"/>
            <w:hideMark/>
          </w:tcPr>
          <w:p w:rsidR="00AE7E6E" w:rsidRPr="00AE7E6E" w:rsidRDefault="00AE7E6E" w:rsidP="00AE7E6E">
            <w:pPr>
              <w:spacing w:before="0" w:after="0" w:line="240" w:lineRule="auto"/>
              <w:rPr>
                <w:color w:val="000000"/>
                <w:sz w:val="16"/>
                <w:szCs w:val="16"/>
                <w:lang w:eastAsia="en-NZ"/>
              </w:rPr>
            </w:pPr>
            <w:r w:rsidRPr="00AE7E6E">
              <w:rPr>
                <w:color w:val="000000"/>
                <w:sz w:val="16"/>
                <w:szCs w:val="16"/>
                <w:lang w:eastAsia="en-NZ"/>
              </w:rPr>
              <w:t> </w:t>
            </w:r>
          </w:p>
        </w:tc>
        <w:tc>
          <w:tcPr>
            <w:tcW w:w="0" w:type="auto"/>
            <w:tcBorders>
              <w:top w:val="nil"/>
              <w:left w:val="nil"/>
              <w:bottom w:val="nil"/>
              <w:right w:val="single" w:sz="4" w:space="0" w:color="auto"/>
            </w:tcBorders>
            <w:shd w:val="clear" w:color="auto" w:fill="auto"/>
            <w:noWrap/>
            <w:vAlign w:val="bottom"/>
            <w:hideMark/>
          </w:tcPr>
          <w:p w:rsidR="00AE7E6E" w:rsidRPr="00AE7E6E" w:rsidRDefault="00AE7E6E" w:rsidP="00AE7E6E">
            <w:pPr>
              <w:spacing w:before="0" w:after="0" w:line="240" w:lineRule="auto"/>
              <w:rPr>
                <w:color w:val="000000"/>
                <w:sz w:val="16"/>
                <w:szCs w:val="16"/>
                <w:lang w:eastAsia="en-NZ"/>
              </w:rPr>
            </w:pPr>
            <w:r w:rsidRPr="00AE7E6E">
              <w:rPr>
                <w:color w:val="000000"/>
                <w:sz w:val="16"/>
                <w:szCs w:val="16"/>
                <w:lang w:eastAsia="en-NZ"/>
              </w:rPr>
              <w:t>People residing in these h'holds</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185,290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184,780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179,070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52,520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101,360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114,640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167,100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130,070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20,520</w:t>
            </w:r>
          </w:p>
        </w:tc>
        <w:tc>
          <w:tcPr>
            <w:tcW w:w="0" w:type="auto"/>
            <w:tcBorders>
              <w:top w:val="nil"/>
              <w:left w:val="single" w:sz="4" w:space="0" w:color="auto"/>
              <w:bottom w:val="nil"/>
              <w:right w:val="single" w:sz="4" w:space="0" w:color="auto"/>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185,290</w:t>
            </w:r>
          </w:p>
        </w:tc>
      </w:tr>
      <w:tr w:rsidR="00AE7E6E" w:rsidRPr="00AE7E6E" w:rsidTr="00AE7E6E">
        <w:tc>
          <w:tcPr>
            <w:tcW w:w="0" w:type="auto"/>
            <w:tcBorders>
              <w:top w:val="nil"/>
              <w:left w:val="single" w:sz="4" w:space="0" w:color="auto"/>
              <w:bottom w:val="nil"/>
              <w:right w:val="nil"/>
            </w:tcBorders>
            <w:shd w:val="clear" w:color="auto" w:fill="auto"/>
            <w:noWrap/>
            <w:vAlign w:val="bottom"/>
            <w:hideMark/>
          </w:tcPr>
          <w:p w:rsidR="00AE7E6E" w:rsidRPr="00AE7E6E" w:rsidRDefault="00AE7E6E" w:rsidP="00AE7E6E">
            <w:pPr>
              <w:spacing w:before="0" w:after="0" w:line="240" w:lineRule="auto"/>
              <w:rPr>
                <w:color w:val="000000"/>
                <w:sz w:val="16"/>
                <w:szCs w:val="16"/>
                <w:lang w:eastAsia="en-NZ"/>
              </w:rPr>
            </w:pPr>
            <w:r w:rsidRPr="00AE7E6E">
              <w:rPr>
                <w:color w:val="000000"/>
                <w:sz w:val="16"/>
                <w:szCs w:val="16"/>
                <w:lang w:eastAsia="en-NZ"/>
              </w:rPr>
              <w:t> </w:t>
            </w:r>
          </w:p>
        </w:tc>
        <w:tc>
          <w:tcPr>
            <w:tcW w:w="0" w:type="auto"/>
            <w:tcBorders>
              <w:top w:val="nil"/>
              <w:left w:val="nil"/>
              <w:bottom w:val="nil"/>
              <w:right w:val="single" w:sz="4" w:space="0" w:color="auto"/>
            </w:tcBorders>
            <w:shd w:val="clear" w:color="auto" w:fill="auto"/>
            <w:noWrap/>
            <w:vAlign w:val="bottom"/>
            <w:hideMark/>
          </w:tcPr>
          <w:p w:rsidR="00AE7E6E" w:rsidRPr="00AE7E6E" w:rsidRDefault="00AE7E6E" w:rsidP="00AE7E6E">
            <w:pPr>
              <w:spacing w:before="0" w:after="0" w:line="240" w:lineRule="auto"/>
              <w:rPr>
                <w:color w:val="000000"/>
                <w:sz w:val="16"/>
                <w:szCs w:val="16"/>
                <w:lang w:eastAsia="en-NZ"/>
              </w:rPr>
            </w:pPr>
            <w:r w:rsidRPr="00AE7E6E">
              <w:rPr>
                <w:color w:val="000000"/>
                <w:sz w:val="16"/>
                <w:szCs w:val="16"/>
                <w:lang w:eastAsia="en-NZ"/>
              </w:rPr>
              <w:t>Average h'hold expenditure</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43,000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3,400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8,100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600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5,400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5,400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4,000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6,900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6,900</w:t>
            </w:r>
          </w:p>
        </w:tc>
        <w:tc>
          <w:tcPr>
            <w:tcW w:w="0" w:type="auto"/>
            <w:tcBorders>
              <w:top w:val="nil"/>
              <w:left w:val="single" w:sz="4" w:space="0" w:color="auto"/>
              <w:bottom w:val="nil"/>
              <w:right w:val="single" w:sz="4" w:space="0" w:color="auto"/>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69,300</w:t>
            </w:r>
          </w:p>
        </w:tc>
      </w:tr>
      <w:tr w:rsidR="00AE7E6E" w:rsidRPr="00AE7E6E" w:rsidTr="00AE7E6E">
        <w:tc>
          <w:tcPr>
            <w:tcW w:w="0" w:type="auto"/>
            <w:tcBorders>
              <w:top w:val="nil"/>
              <w:left w:val="single" w:sz="4" w:space="0" w:color="auto"/>
              <w:bottom w:val="single" w:sz="4" w:space="0" w:color="auto"/>
              <w:right w:val="nil"/>
            </w:tcBorders>
            <w:shd w:val="clear" w:color="auto" w:fill="auto"/>
            <w:noWrap/>
            <w:vAlign w:val="bottom"/>
            <w:hideMark/>
          </w:tcPr>
          <w:p w:rsidR="00AE7E6E" w:rsidRPr="00AE7E6E" w:rsidRDefault="00AE7E6E" w:rsidP="00AE7E6E">
            <w:pPr>
              <w:spacing w:before="0" w:after="0" w:line="240" w:lineRule="auto"/>
              <w:rPr>
                <w:color w:val="000000"/>
                <w:sz w:val="16"/>
                <w:szCs w:val="16"/>
                <w:lang w:eastAsia="en-NZ"/>
              </w:rPr>
            </w:pPr>
            <w:r w:rsidRPr="00AE7E6E">
              <w:rPr>
                <w:color w:val="000000"/>
                <w:sz w:val="16"/>
                <w:szCs w:val="16"/>
                <w:lang w:eastAsia="en-NZ"/>
              </w:rPr>
              <w:t> </w:t>
            </w:r>
          </w:p>
        </w:tc>
        <w:tc>
          <w:tcPr>
            <w:tcW w:w="0" w:type="auto"/>
            <w:tcBorders>
              <w:top w:val="nil"/>
              <w:left w:val="nil"/>
              <w:bottom w:val="single" w:sz="4" w:space="0" w:color="auto"/>
              <w:right w:val="single" w:sz="4" w:space="0" w:color="auto"/>
            </w:tcBorders>
            <w:shd w:val="clear" w:color="auto" w:fill="auto"/>
            <w:noWrap/>
            <w:vAlign w:val="bottom"/>
            <w:hideMark/>
          </w:tcPr>
          <w:p w:rsidR="00AE7E6E" w:rsidRPr="00AE7E6E" w:rsidRDefault="00AE7E6E" w:rsidP="00AE7E6E">
            <w:pPr>
              <w:spacing w:before="0" w:after="0" w:line="240" w:lineRule="auto"/>
              <w:rPr>
                <w:color w:val="000000"/>
                <w:sz w:val="16"/>
                <w:szCs w:val="16"/>
                <w:lang w:eastAsia="en-NZ"/>
              </w:rPr>
            </w:pPr>
            <w:r w:rsidRPr="00AE7E6E">
              <w:rPr>
                <w:color w:val="000000"/>
                <w:sz w:val="16"/>
                <w:szCs w:val="16"/>
                <w:lang w:eastAsia="en-NZ"/>
              </w:rPr>
              <w:t>Average per capita expenditure</w:t>
            </w:r>
          </w:p>
        </w:tc>
        <w:tc>
          <w:tcPr>
            <w:tcW w:w="0" w:type="auto"/>
            <w:tcBorders>
              <w:top w:val="nil"/>
              <w:left w:val="nil"/>
              <w:bottom w:val="single" w:sz="4" w:space="0" w:color="auto"/>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8,900</w:t>
            </w:r>
          </w:p>
        </w:tc>
        <w:tc>
          <w:tcPr>
            <w:tcW w:w="0" w:type="auto"/>
            <w:tcBorders>
              <w:top w:val="nil"/>
              <w:left w:val="nil"/>
              <w:bottom w:val="single" w:sz="4" w:space="0" w:color="auto"/>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700</w:t>
            </w:r>
          </w:p>
        </w:tc>
        <w:tc>
          <w:tcPr>
            <w:tcW w:w="0" w:type="auto"/>
            <w:tcBorders>
              <w:top w:val="nil"/>
              <w:left w:val="nil"/>
              <w:bottom w:val="single" w:sz="4" w:space="0" w:color="auto"/>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1,700</w:t>
            </w:r>
          </w:p>
        </w:tc>
        <w:tc>
          <w:tcPr>
            <w:tcW w:w="0" w:type="auto"/>
            <w:tcBorders>
              <w:top w:val="nil"/>
              <w:left w:val="nil"/>
              <w:bottom w:val="single" w:sz="4" w:space="0" w:color="auto"/>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100</w:t>
            </w:r>
          </w:p>
        </w:tc>
        <w:tc>
          <w:tcPr>
            <w:tcW w:w="0" w:type="auto"/>
            <w:tcBorders>
              <w:top w:val="nil"/>
              <w:left w:val="nil"/>
              <w:bottom w:val="single" w:sz="4" w:space="0" w:color="auto"/>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1,100</w:t>
            </w:r>
          </w:p>
        </w:tc>
        <w:tc>
          <w:tcPr>
            <w:tcW w:w="0" w:type="auto"/>
            <w:tcBorders>
              <w:top w:val="nil"/>
              <w:left w:val="nil"/>
              <w:bottom w:val="single" w:sz="4" w:space="0" w:color="auto"/>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1,100</w:t>
            </w:r>
          </w:p>
        </w:tc>
        <w:tc>
          <w:tcPr>
            <w:tcW w:w="0" w:type="auto"/>
            <w:tcBorders>
              <w:top w:val="nil"/>
              <w:left w:val="nil"/>
              <w:bottom w:val="single" w:sz="4" w:space="0" w:color="auto"/>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800</w:t>
            </w:r>
          </w:p>
        </w:tc>
        <w:tc>
          <w:tcPr>
            <w:tcW w:w="0" w:type="auto"/>
            <w:tcBorders>
              <w:top w:val="nil"/>
              <w:left w:val="nil"/>
              <w:bottom w:val="single" w:sz="4" w:space="0" w:color="auto"/>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1,400</w:t>
            </w:r>
          </w:p>
        </w:tc>
        <w:tc>
          <w:tcPr>
            <w:tcW w:w="0" w:type="auto"/>
            <w:tcBorders>
              <w:top w:val="nil"/>
              <w:left w:val="nil"/>
              <w:bottom w:val="single" w:sz="4" w:space="0" w:color="auto"/>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1,400</w:t>
            </w:r>
          </w:p>
        </w:tc>
        <w:tc>
          <w:tcPr>
            <w:tcW w:w="0" w:type="auto"/>
            <w:tcBorders>
              <w:top w:val="nil"/>
              <w:left w:val="single" w:sz="4" w:space="0" w:color="auto"/>
              <w:bottom w:val="nil"/>
              <w:right w:val="single" w:sz="4" w:space="0" w:color="auto"/>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14,300</w:t>
            </w:r>
          </w:p>
        </w:tc>
      </w:tr>
      <w:tr w:rsidR="00AE7E6E" w:rsidRPr="00AE7E6E" w:rsidTr="00AE7E6E">
        <w:tc>
          <w:tcPr>
            <w:tcW w:w="0" w:type="auto"/>
            <w:tcBorders>
              <w:top w:val="nil"/>
              <w:left w:val="single" w:sz="4" w:space="0" w:color="auto"/>
              <w:bottom w:val="nil"/>
              <w:right w:val="nil"/>
            </w:tcBorders>
            <w:shd w:val="clear" w:color="auto" w:fill="auto"/>
            <w:noWrap/>
            <w:vAlign w:val="bottom"/>
            <w:hideMark/>
          </w:tcPr>
          <w:p w:rsidR="00AE7E6E" w:rsidRPr="00AE7E6E" w:rsidRDefault="00AE7E6E" w:rsidP="00AE7E6E">
            <w:pPr>
              <w:spacing w:before="0" w:after="0" w:line="240" w:lineRule="auto"/>
              <w:rPr>
                <w:b/>
                <w:bCs/>
                <w:color w:val="000000"/>
                <w:sz w:val="16"/>
                <w:szCs w:val="16"/>
                <w:lang w:eastAsia="en-NZ"/>
              </w:rPr>
            </w:pPr>
            <w:r w:rsidRPr="00AE7E6E">
              <w:rPr>
                <w:b/>
                <w:bCs/>
                <w:color w:val="000000"/>
                <w:sz w:val="16"/>
                <w:szCs w:val="16"/>
                <w:lang w:eastAsia="en-NZ"/>
              </w:rPr>
              <w:t>Urban</w:t>
            </w:r>
          </w:p>
        </w:tc>
        <w:tc>
          <w:tcPr>
            <w:tcW w:w="0" w:type="auto"/>
            <w:tcBorders>
              <w:top w:val="nil"/>
              <w:left w:val="nil"/>
              <w:bottom w:val="nil"/>
              <w:right w:val="single" w:sz="4" w:space="0" w:color="auto"/>
            </w:tcBorders>
            <w:shd w:val="clear" w:color="auto" w:fill="auto"/>
            <w:noWrap/>
            <w:vAlign w:val="bottom"/>
            <w:hideMark/>
          </w:tcPr>
          <w:p w:rsidR="00AE7E6E" w:rsidRPr="00AE7E6E" w:rsidRDefault="00AE7E6E" w:rsidP="00AE7E6E">
            <w:pPr>
              <w:spacing w:before="0" w:after="0" w:line="240" w:lineRule="auto"/>
              <w:rPr>
                <w:b/>
                <w:bCs/>
                <w:color w:val="000000"/>
                <w:sz w:val="16"/>
                <w:szCs w:val="16"/>
                <w:lang w:eastAsia="en-NZ"/>
              </w:rPr>
            </w:pPr>
            <w:r w:rsidRPr="00AE7E6E">
              <w:rPr>
                <w:b/>
                <w:bCs/>
                <w:color w:val="000000"/>
                <w:sz w:val="16"/>
                <w:szCs w:val="16"/>
                <w:lang w:eastAsia="en-NZ"/>
              </w:rPr>
              <w:t>Total expenditure</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515,223,200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135,757,700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230,805,700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8,013,800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98,988,000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56,857,400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88,235,900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68,022,400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11,221,900</w:t>
            </w:r>
          </w:p>
        </w:tc>
        <w:tc>
          <w:tcPr>
            <w:tcW w:w="0" w:type="auto"/>
            <w:tcBorders>
              <w:top w:val="single" w:sz="4" w:space="0" w:color="auto"/>
              <w:left w:val="single" w:sz="4" w:space="0" w:color="auto"/>
              <w:bottom w:val="nil"/>
              <w:right w:val="single" w:sz="4" w:space="0" w:color="auto"/>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1,213,126,100</w:t>
            </w:r>
          </w:p>
        </w:tc>
      </w:tr>
      <w:tr w:rsidR="00AE7E6E" w:rsidRPr="00AE7E6E" w:rsidTr="00AE7E6E">
        <w:tc>
          <w:tcPr>
            <w:tcW w:w="0" w:type="auto"/>
            <w:tcBorders>
              <w:top w:val="nil"/>
              <w:left w:val="single" w:sz="4" w:space="0" w:color="auto"/>
              <w:bottom w:val="nil"/>
              <w:right w:val="nil"/>
            </w:tcBorders>
            <w:shd w:val="clear" w:color="auto" w:fill="auto"/>
            <w:noWrap/>
            <w:vAlign w:val="bottom"/>
            <w:hideMark/>
          </w:tcPr>
          <w:p w:rsidR="00AE7E6E" w:rsidRPr="00AE7E6E" w:rsidRDefault="00AE7E6E" w:rsidP="00AE7E6E">
            <w:pPr>
              <w:spacing w:before="0" w:after="0" w:line="240" w:lineRule="auto"/>
              <w:rPr>
                <w:color w:val="000000"/>
                <w:sz w:val="16"/>
                <w:szCs w:val="16"/>
                <w:lang w:eastAsia="en-NZ"/>
              </w:rPr>
            </w:pPr>
            <w:r w:rsidRPr="00AE7E6E">
              <w:rPr>
                <w:color w:val="000000"/>
                <w:sz w:val="16"/>
                <w:szCs w:val="16"/>
                <w:lang w:eastAsia="en-NZ"/>
              </w:rPr>
              <w:t> </w:t>
            </w:r>
          </w:p>
        </w:tc>
        <w:tc>
          <w:tcPr>
            <w:tcW w:w="0" w:type="auto"/>
            <w:tcBorders>
              <w:top w:val="nil"/>
              <w:left w:val="nil"/>
              <w:bottom w:val="nil"/>
              <w:right w:val="single" w:sz="4" w:space="0" w:color="auto"/>
            </w:tcBorders>
            <w:shd w:val="clear" w:color="auto" w:fill="auto"/>
            <w:noWrap/>
            <w:vAlign w:val="bottom"/>
            <w:hideMark/>
          </w:tcPr>
          <w:p w:rsidR="00AE7E6E" w:rsidRPr="00AE7E6E" w:rsidRDefault="00AE7E6E" w:rsidP="00AE7E6E">
            <w:pPr>
              <w:spacing w:before="0" w:after="0" w:line="240" w:lineRule="auto"/>
              <w:rPr>
                <w:color w:val="000000"/>
                <w:sz w:val="16"/>
                <w:szCs w:val="16"/>
                <w:lang w:eastAsia="en-NZ"/>
              </w:rPr>
            </w:pPr>
            <w:r w:rsidRPr="00AE7E6E">
              <w:rPr>
                <w:color w:val="000000"/>
                <w:sz w:val="16"/>
                <w:szCs w:val="16"/>
                <w:lang w:eastAsia="en-NZ"/>
              </w:rPr>
              <w:t>H'holds with expenditure</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12,470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12,400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12,300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5,980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8,570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6,310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11,990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9,140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800</w:t>
            </w:r>
          </w:p>
        </w:tc>
        <w:tc>
          <w:tcPr>
            <w:tcW w:w="0" w:type="auto"/>
            <w:tcBorders>
              <w:top w:val="nil"/>
              <w:left w:val="single" w:sz="4" w:space="0" w:color="auto"/>
              <w:bottom w:val="nil"/>
              <w:right w:val="single" w:sz="4" w:space="0" w:color="auto"/>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12,470</w:t>
            </w:r>
          </w:p>
        </w:tc>
      </w:tr>
      <w:tr w:rsidR="00AE7E6E" w:rsidRPr="00AE7E6E" w:rsidTr="00AE7E6E">
        <w:tc>
          <w:tcPr>
            <w:tcW w:w="0" w:type="auto"/>
            <w:tcBorders>
              <w:top w:val="nil"/>
              <w:left w:val="single" w:sz="4" w:space="0" w:color="auto"/>
              <w:bottom w:val="nil"/>
              <w:right w:val="nil"/>
            </w:tcBorders>
            <w:shd w:val="clear" w:color="auto" w:fill="auto"/>
            <w:noWrap/>
            <w:vAlign w:val="bottom"/>
            <w:hideMark/>
          </w:tcPr>
          <w:p w:rsidR="00AE7E6E" w:rsidRPr="00AE7E6E" w:rsidRDefault="00AE7E6E" w:rsidP="00AE7E6E">
            <w:pPr>
              <w:spacing w:before="0" w:after="0" w:line="240" w:lineRule="auto"/>
              <w:rPr>
                <w:color w:val="000000"/>
                <w:sz w:val="16"/>
                <w:szCs w:val="16"/>
                <w:lang w:eastAsia="en-NZ"/>
              </w:rPr>
            </w:pPr>
            <w:r w:rsidRPr="00AE7E6E">
              <w:rPr>
                <w:color w:val="000000"/>
                <w:sz w:val="16"/>
                <w:szCs w:val="16"/>
                <w:lang w:eastAsia="en-NZ"/>
              </w:rPr>
              <w:t> </w:t>
            </w:r>
          </w:p>
        </w:tc>
        <w:tc>
          <w:tcPr>
            <w:tcW w:w="0" w:type="auto"/>
            <w:tcBorders>
              <w:top w:val="nil"/>
              <w:left w:val="nil"/>
              <w:bottom w:val="nil"/>
              <w:right w:val="single" w:sz="4" w:space="0" w:color="auto"/>
            </w:tcBorders>
            <w:shd w:val="clear" w:color="auto" w:fill="auto"/>
            <w:noWrap/>
            <w:vAlign w:val="bottom"/>
            <w:hideMark/>
          </w:tcPr>
          <w:p w:rsidR="00AE7E6E" w:rsidRPr="00AE7E6E" w:rsidRDefault="00AE7E6E" w:rsidP="00AE7E6E">
            <w:pPr>
              <w:spacing w:before="0" w:after="0" w:line="240" w:lineRule="auto"/>
              <w:rPr>
                <w:color w:val="000000"/>
                <w:sz w:val="16"/>
                <w:szCs w:val="16"/>
                <w:lang w:eastAsia="en-NZ"/>
              </w:rPr>
            </w:pPr>
            <w:r w:rsidRPr="00AE7E6E">
              <w:rPr>
                <w:color w:val="000000"/>
                <w:sz w:val="16"/>
                <w:szCs w:val="16"/>
                <w:lang w:eastAsia="en-NZ"/>
              </w:rPr>
              <w:t>People residing in these h'holds</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64,560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64,190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63,970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31,930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46,230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33,760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62,690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47,920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4,600</w:t>
            </w:r>
          </w:p>
        </w:tc>
        <w:tc>
          <w:tcPr>
            <w:tcW w:w="0" w:type="auto"/>
            <w:tcBorders>
              <w:top w:val="nil"/>
              <w:left w:val="single" w:sz="4" w:space="0" w:color="auto"/>
              <w:bottom w:val="nil"/>
              <w:right w:val="single" w:sz="4" w:space="0" w:color="auto"/>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64,560</w:t>
            </w:r>
          </w:p>
        </w:tc>
      </w:tr>
      <w:tr w:rsidR="00AE7E6E" w:rsidRPr="00AE7E6E" w:rsidTr="00AE7E6E">
        <w:tc>
          <w:tcPr>
            <w:tcW w:w="0" w:type="auto"/>
            <w:tcBorders>
              <w:top w:val="nil"/>
              <w:left w:val="single" w:sz="4" w:space="0" w:color="auto"/>
              <w:bottom w:val="nil"/>
              <w:right w:val="nil"/>
            </w:tcBorders>
            <w:shd w:val="clear" w:color="auto" w:fill="auto"/>
            <w:noWrap/>
            <w:vAlign w:val="bottom"/>
            <w:hideMark/>
          </w:tcPr>
          <w:p w:rsidR="00AE7E6E" w:rsidRPr="00AE7E6E" w:rsidRDefault="00AE7E6E" w:rsidP="00AE7E6E">
            <w:pPr>
              <w:spacing w:before="0" w:after="0" w:line="240" w:lineRule="auto"/>
              <w:rPr>
                <w:color w:val="000000"/>
                <w:sz w:val="16"/>
                <w:szCs w:val="16"/>
                <w:lang w:eastAsia="en-NZ"/>
              </w:rPr>
            </w:pPr>
            <w:r w:rsidRPr="00AE7E6E">
              <w:rPr>
                <w:color w:val="000000"/>
                <w:sz w:val="16"/>
                <w:szCs w:val="16"/>
                <w:lang w:eastAsia="en-NZ"/>
              </w:rPr>
              <w:t> </w:t>
            </w:r>
          </w:p>
        </w:tc>
        <w:tc>
          <w:tcPr>
            <w:tcW w:w="0" w:type="auto"/>
            <w:tcBorders>
              <w:top w:val="nil"/>
              <w:left w:val="nil"/>
              <w:bottom w:val="nil"/>
              <w:right w:val="single" w:sz="4" w:space="0" w:color="auto"/>
            </w:tcBorders>
            <w:shd w:val="clear" w:color="auto" w:fill="auto"/>
            <w:noWrap/>
            <w:vAlign w:val="bottom"/>
            <w:hideMark/>
          </w:tcPr>
          <w:p w:rsidR="00AE7E6E" w:rsidRPr="00AE7E6E" w:rsidRDefault="00AE7E6E" w:rsidP="00AE7E6E">
            <w:pPr>
              <w:spacing w:before="0" w:after="0" w:line="240" w:lineRule="auto"/>
              <w:rPr>
                <w:color w:val="000000"/>
                <w:sz w:val="16"/>
                <w:szCs w:val="16"/>
                <w:lang w:eastAsia="en-NZ"/>
              </w:rPr>
            </w:pPr>
            <w:r w:rsidRPr="00AE7E6E">
              <w:rPr>
                <w:color w:val="000000"/>
                <w:sz w:val="16"/>
                <w:szCs w:val="16"/>
                <w:lang w:eastAsia="en-NZ"/>
              </w:rPr>
              <w:t>Average h'hold expenditure</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41,300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10,900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18,800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1,300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11,500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9,000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7,400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7,400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14,100</w:t>
            </w:r>
          </w:p>
        </w:tc>
        <w:tc>
          <w:tcPr>
            <w:tcW w:w="0" w:type="auto"/>
            <w:tcBorders>
              <w:top w:val="nil"/>
              <w:left w:val="single" w:sz="4" w:space="0" w:color="auto"/>
              <w:bottom w:val="nil"/>
              <w:right w:val="single" w:sz="4" w:space="0" w:color="auto"/>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97,300</w:t>
            </w:r>
          </w:p>
        </w:tc>
      </w:tr>
      <w:tr w:rsidR="00AE7E6E" w:rsidRPr="00AE7E6E" w:rsidTr="00AE7E6E">
        <w:tc>
          <w:tcPr>
            <w:tcW w:w="0" w:type="auto"/>
            <w:tcBorders>
              <w:top w:val="nil"/>
              <w:left w:val="single" w:sz="4" w:space="0" w:color="auto"/>
              <w:bottom w:val="single" w:sz="4" w:space="0" w:color="auto"/>
              <w:right w:val="nil"/>
            </w:tcBorders>
            <w:shd w:val="clear" w:color="auto" w:fill="auto"/>
            <w:noWrap/>
            <w:vAlign w:val="bottom"/>
            <w:hideMark/>
          </w:tcPr>
          <w:p w:rsidR="00AE7E6E" w:rsidRPr="00AE7E6E" w:rsidRDefault="00AE7E6E" w:rsidP="00AE7E6E">
            <w:pPr>
              <w:spacing w:before="0" w:after="0" w:line="240" w:lineRule="auto"/>
              <w:rPr>
                <w:color w:val="000000"/>
                <w:sz w:val="16"/>
                <w:szCs w:val="16"/>
                <w:lang w:eastAsia="en-NZ"/>
              </w:rPr>
            </w:pPr>
            <w:r w:rsidRPr="00AE7E6E">
              <w:rPr>
                <w:color w:val="000000"/>
                <w:sz w:val="16"/>
                <w:szCs w:val="16"/>
                <w:lang w:eastAsia="en-NZ"/>
              </w:rPr>
              <w:t> </w:t>
            </w:r>
          </w:p>
        </w:tc>
        <w:tc>
          <w:tcPr>
            <w:tcW w:w="0" w:type="auto"/>
            <w:tcBorders>
              <w:top w:val="nil"/>
              <w:left w:val="nil"/>
              <w:bottom w:val="single" w:sz="4" w:space="0" w:color="auto"/>
              <w:right w:val="single" w:sz="4" w:space="0" w:color="auto"/>
            </w:tcBorders>
            <w:shd w:val="clear" w:color="auto" w:fill="auto"/>
            <w:noWrap/>
            <w:vAlign w:val="bottom"/>
            <w:hideMark/>
          </w:tcPr>
          <w:p w:rsidR="00AE7E6E" w:rsidRPr="00AE7E6E" w:rsidRDefault="00AE7E6E" w:rsidP="00AE7E6E">
            <w:pPr>
              <w:spacing w:before="0" w:after="0" w:line="240" w:lineRule="auto"/>
              <w:rPr>
                <w:color w:val="000000"/>
                <w:sz w:val="16"/>
                <w:szCs w:val="16"/>
                <w:lang w:eastAsia="en-NZ"/>
              </w:rPr>
            </w:pPr>
            <w:r w:rsidRPr="00AE7E6E">
              <w:rPr>
                <w:color w:val="000000"/>
                <w:sz w:val="16"/>
                <w:szCs w:val="16"/>
                <w:lang w:eastAsia="en-NZ"/>
              </w:rPr>
              <w:t>Average per capita expenditure</w:t>
            </w:r>
          </w:p>
        </w:tc>
        <w:tc>
          <w:tcPr>
            <w:tcW w:w="0" w:type="auto"/>
            <w:tcBorders>
              <w:top w:val="nil"/>
              <w:left w:val="nil"/>
              <w:bottom w:val="single" w:sz="4" w:space="0" w:color="auto"/>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8,000</w:t>
            </w:r>
          </w:p>
        </w:tc>
        <w:tc>
          <w:tcPr>
            <w:tcW w:w="0" w:type="auto"/>
            <w:tcBorders>
              <w:top w:val="nil"/>
              <w:left w:val="nil"/>
              <w:bottom w:val="single" w:sz="4" w:space="0" w:color="auto"/>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2,100</w:t>
            </w:r>
          </w:p>
        </w:tc>
        <w:tc>
          <w:tcPr>
            <w:tcW w:w="0" w:type="auto"/>
            <w:tcBorders>
              <w:top w:val="nil"/>
              <w:left w:val="nil"/>
              <w:bottom w:val="single" w:sz="4" w:space="0" w:color="auto"/>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3,600</w:t>
            </w:r>
          </w:p>
        </w:tc>
        <w:tc>
          <w:tcPr>
            <w:tcW w:w="0" w:type="auto"/>
            <w:tcBorders>
              <w:top w:val="nil"/>
              <w:left w:val="nil"/>
              <w:bottom w:val="single" w:sz="4" w:space="0" w:color="auto"/>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300</w:t>
            </w:r>
          </w:p>
        </w:tc>
        <w:tc>
          <w:tcPr>
            <w:tcW w:w="0" w:type="auto"/>
            <w:tcBorders>
              <w:top w:val="nil"/>
              <w:left w:val="nil"/>
              <w:bottom w:val="single" w:sz="4" w:space="0" w:color="auto"/>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2,100</w:t>
            </w:r>
          </w:p>
        </w:tc>
        <w:tc>
          <w:tcPr>
            <w:tcW w:w="0" w:type="auto"/>
            <w:tcBorders>
              <w:top w:val="nil"/>
              <w:left w:val="nil"/>
              <w:bottom w:val="single" w:sz="4" w:space="0" w:color="auto"/>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1,700</w:t>
            </w:r>
          </w:p>
        </w:tc>
        <w:tc>
          <w:tcPr>
            <w:tcW w:w="0" w:type="auto"/>
            <w:tcBorders>
              <w:top w:val="nil"/>
              <w:left w:val="nil"/>
              <w:bottom w:val="single" w:sz="4" w:space="0" w:color="auto"/>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1,400</w:t>
            </w:r>
          </w:p>
        </w:tc>
        <w:tc>
          <w:tcPr>
            <w:tcW w:w="0" w:type="auto"/>
            <w:tcBorders>
              <w:top w:val="nil"/>
              <w:left w:val="nil"/>
              <w:bottom w:val="single" w:sz="4" w:space="0" w:color="auto"/>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1,400</w:t>
            </w:r>
          </w:p>
        </w:tc>
        <w:tc>
          <w:tcPr>
            <w:tcW w:w="0" w:type="auto"/>
            <w:tcBorders>
              <w:top w:val="nil"/>
              <w:left w:val="nil"/>
              <w:bottom w:val="single" w:sz="4" w:space="0" w:color="auto"/>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2,400</w:t>
            </w:r>
          </w:p>
        </w:tc>
        <w:tc>
          <w:tcPr>
            <w:tcW w:w="0" w:type="auto"/>
            <w:tcBorders>
              <w:top w:val="nil"/>
              <w:left w:val="single" w:sz="4" w:space="0" w:color="auto"/>
              <w:bottom w:val="nil"/>
              <w:right w:val="single" w:sz="4" w:space="0" w:color="auto"/>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18,800</w:t>
            </w:r>
          </w:p>
        </w:tc>
      </w:tr>
      <w:tr w:rsidR="00AE7E6E" w:rsidRPr="00AE7E6E" w:rsidTr="00AE7E6E">
        <w:tc>
          <w:tcPr>
            <w:tcW w:w="0" w:type="auto"/>
            <w:tcBorders>
              <w:top w:val="nil"/>
              <w:left w:val="single" w:sz="4" w:space="0" w:color="auto"/>
              <w:bottom w:val="nil"/>
              <w:right w:val="nil"/>
            </w:tcBorders>
            <w:shd w:val="clear" w:color="auto" w:fill="auto"/>
            <w:noWrap/>
            <w:vAlign w:val="bottom"/>
            <w:hideMark/>
          </w:tcPr>
          <w:p w:rsidR="00AE7E6E" w:rsidRPr="00AE7E6E" w:rsidRDefault="00AE7E6E" w:rsidP="00AE7E6E">
            <w:pPr>
              <w:spacing w:before="0" w:after="0" w:line="240" w:lineRule="auto"/>
              <w:rPr>
                <w:b/>
                <w:bCs/>
                <w:color w:val="000000"/>
                <w:sz w:val="16"/>
                <w:szCs w:val="16"/>
                <w:lang w:eastAsia="en-NZ"/>
              </w:rPr>
            </w:pPr>
            <w:r w:rsidRPr="00AE7E6E">
              <w:rPr>
                <w:b/>
                <w:bCs/>
                <w:color w:val="000000"/>
                <w:sz w:val="16"/>
                <w:szCs w:val="16"/>
                <w:lang w:eastAsia="en-NZ"/>
              </w:rPr>
              <w:t>Vanuatu</w:t>
            </w:r>
          </w:p>
        </w:tc>
        <w:tc>
          <w:tcPr>
            <w:tcW w:w="0" w:type="auto"/>
            <w:tcBorders>
              <w:top w:val="nil"/>
              <w:left w:val="nil"/>
              <w:bottom w:val="nil"/>
              <w:right w:val="single" w:sz="4" w:space="0" w:color="auto"/>
            </w:tcBorders>
            <w:shd w:val="clear" w:color="auto" w:fill="auto"/>
            <w:noWrap/>
            <w:vAlign w:val="bottom"/>
            <w:hideMark/>
          </w:tcPr>
          <w:p w:rsidR="00AE7E6E" w:rsidRPr="00AE7E6E" w:rsidRDefault="00AE7E6E" w:rsidP="00AE7E6E">
            <w:pPr>
              <w:spacing w:before="0" w:after="0" w:line="240" w:lineRule="auto"/>
              <w:rPr>
                <w:b/>
                <w:bCs/>
                <w:color w:val="000000"/>
                <w:sz w:val="16"/>
                <w:szCs w:val="16"/>
                <w:lang w:eastAsia="en-NZ"/>
              </w:rPr>
            </w:pPr>
            <w:r w:rsidRPr="00AE7E6E">
              <w:rPr>
                <w:b/>
                <w:bCs/>
                <w:color w:val="000000"/>
                <w:sz w:val="16"/>
                <w:szCs w:val="16"/>
                <w:lang w:eastAsia="en-NZ"/>
              </w:rPr>
              <w:t>Total expenditure</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2,161,984,400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263,852,200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528,303,500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14,247,100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205,538,000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177,640,800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222,257,300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249,674,500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40,603,500</w:t>
            </w:r>
          </w:p>
        </w:tc>
        <w:tc>
          <w:tcPr>
            <w:tcW w:w="0" w:type="auto"/>
            <w:tcBorders>
              <w:top w:val="single" w:sz="4" w:space="0" w:color="auto"/>
              <w:left w:val="single" w:sz="4" w:space="0" w:color="auto"/>
              <w:bottom w:val="nil"/>
              <w:right w:val="single" w:sz="4" w:space="0" w:color="auto"/>
            </w:tcBorders>
            <w:shd w:val="clear" w:color="auto" w:fill="auto"/>
            <w:noWrap/>
            <w:vAlign w:val="bottom"/>
            <w:hideMark/>
          </w:tcPr>
          <w:p w:rsidR="00AE7E6E" w:rsidRPr="00AE7E6E" w:rsidRDefault="00AE7E6E" w:rsidP="00AE7E6E">
            <w:pPr>
              <w:spacing w:before="0" w:after="0" w:line="240" w:lineRule="auto"/>
              <w:jc w:val="right"/>
              <w:rPr>
                <w:b/>
                <w:bCs/>
                <w:color w:val="000000"/>
                <w:sz w:val="16"/>
                <w:szCs w:val="16"/>
                <w:lang w:eastAsia="en-NZ"/>
              </w:rPr>
            </w:pPr>
            <w:r w:rsidRPr="00AE7E6E">
              <w:rPr>
                <w:b/>
                <w:bCs/>
                <w:color w:val="000000"/>
                <w:sz w:val="16"/>
                <w:szCs w:val="16"/>
                <w:lang w:eastAsia="en-NZ"/>
              </w:rPr>
              <w:t>3,864,101,400</w:t>
            </w:r>
          </w:p>
        </w:tc>
      </w:tr>
      <w:tr w:rsidR="00AE7E6E" w:rsidRPr="00AE7E6E" w:rsidTr="00AE7E6E">
        <w:tc>
          <w:tcPr>
            <w:tcW w:w="0" w:type="auto"/>
            <w:tcBorders>
              <w:top w:val="nil"/>
              <w:left w:val="single" w:sz="4" w:space="0" w:color="auto"/>
              <w:bottom w:val="nil"/>
              <w:right w:val="nil"/>
            </w:tcBorders>
            <w:shd w:val="clear" w:color="auto" w:fill="auto"/>
            <w:noWrap/>
            <w:vAlign w:val="bottom"/>
            <w:hideMark/>
          </w:tcPr>
          <w:p w:rsidR="00AE7E6E" w:rsidRPr="00AE7E6E" w:rsidRDefault="00AE7E6E" w:rsidP="00AE7E6E">
            <w:pPr>
              <w:spacing w:before="0" w:after="0" w:line="240" w:lineRule="auto"/>
              <w:rPr>
                <w:color w:val="000000"/>
                <w:sz w:val="16"/>
                <w:szCs w:val="16"/>
                <w:lang w:eastAsia="en-NZ"/>
              </w:rPr>
            </w:pPr>
            <w:r w:rsidRPr="00AE7E6E">
              <w:rPr>
                <w:color w:val="000000"/>
                <w:sz w:val="16"/>
                <w:szCs w:val="16"/>
                <w:lang w:eastAsia="en-NZ"/>
              </w:rPr>
              <w:t> </w:t>
            </w:r>
          </w:p>
        </w:tc>
        <w:tc>
          <w:tcPr>
            <w:tcW w:w="0" w:type="auto"/>
            <w:tcBorders>
              <w:top w:val="nil"/>
              <w:left w:val="nil"/>
              <w:bottom w:val="nil"/>
              <w:right w:val="single" w:sz="4" w:space="0" w:color="auto"/>
            </w:tcBorders>
            <w:shd w:val="clear" w:color="auto" w:fill="auto"/>
            <w:noWrap/>
            <w:vAlign w:val="bottom"/>
            <w:hideMark/>
          </w:tcPr>
          <w:p w:rsidR="00AE7E6E" w:rsidRPr="00AE7E6E" w:rsidRDefault="00AE7E6E" w:rsidP="00AE7E6E">
            <w:pPr>
              <w:spacing w:before="0" w:after="0" w:line="240" w:lineRule="auto"/>
              <w:rPr>
                <w:color w:val="000000"/>
                <w:sz w:val="16"/>
                <w:szCs w:val="16"/>
                <w:lang w:eastAsia="en-NZ"/>
              </w:rPr>
            </w:pPr>
            <w:r w:rsidRPr="00AE7E6E">
              <w:rPr>
                <w:color w:val="000000"/>
                <w:sz w:val="16"/>
                <w:szCs w:val="16"/>
                <w:lang w:eastAsia="en-NZ"/>
              </w:rPr>
              <w:t>H'holds with expenditure</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50,740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50,590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49,000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15,610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28,380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28,860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45,760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35,390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5,070</w:t>
            </w:r>
          </w:p>
        </w:tc>
        <w:tc>
          <w:tcPr>
            <w:tcW w:w="0" w:type="auto"/>
            <w:tcBorders>
              <w:top w:val="nil"/>
              <w:left w:val="single" w:sz="4" w:space="0" w:color="auto"/>
              <w:bottom w:val="nil"/>
              <w:right w:val="single" w:sz="4" w:space="0" w:color="auto"/>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50,740</w:t>
            </w:r>
          </w:p>
        </w:tc>
      </w:tr>
      <w:tr w:rsidR="00AE7E6E" w:rsidRPr="00AE7E6E" w:rsidTr="00AE7E6E">
        <w:tc>
          <w:tcPr>
            <w:tcW w:w="0" w:type="auto"/>
            <w:tcBorders>
              <w:top w:val="nil"/>
              <w:left w:val="single" w:sz="4" w:space="0" w:color="auto"/>
              <w:bottom w:val="nil"/>
              <w:right w:val="nil"/>
            </w:tcBorders>
            <w:shd w:val="clear" w:color="auto" w:fill="auto"/>
            <w:noWrap/>
            <w:vAlign w:val="bottom"/>
            <w:hideMark/>
          </w:tcPr>
          <w:p w:rsidR="00AE7E6E" w:rsidRPr="00AE7E6E" w:rsidRDefault="00AE7E6E" w:rsidP="00AE7E6E">
            <w:pPr>
              <w:spacing w:before="0" w:after="0" w:line="240" w:lineRule="auto"/>
              <w:rPr>
                <w:color w:val="000000"/>
                <w:sz w:val="16"/>
                <w:szCs w:val="16"/>
                <w:lang w:eastAsia="en-NZ"/>
              </w:rPr>
            </w:pPr>
            <w:r w:rsidRPr="00AE7E6E">
              <w:rPr>
                <w:color w:val="000000"/>
                <w:sz w:val="16"/>
                <w:szCs w:val="16"/>
                <w:lang w:eastAsia="en-NZ"/>
              </w:rPr>
              <w:t> </w:t>
            </w:r>
          </w:p>
        </w:tc>
        <w:tc>
          <w:tcPr>
            <w:tcW w:w="0" w:type="auto"/>
            <w:tcBorders>
              <w:top w:val="nil"/>
              <w:left w:val="nil"/>
              <w:bottom w:val="nil"/>
              <w:right w:val="single" w:sz="4" w:space="0" w:color="auto"/>
            </w:tcBorders>
            <w:shd w:val="clear" w:color="auto" w:fill="auto"/>
            <w:noWrap/>
            <w:vAlign w:val="bottom"/>
            <w:hideMark/>
          </w:tcPr>
          <w:p w:rsidR="00AE7E6E" w:rsidRPr="00AE7E6E" w:rsidRDefault="00AE7E6E" w:rsidP="00AE7E6E">
            <w:pPr>
              <w:spacing w:before="0" w:after="0" w:line="240" w:lineRule="auto"/>
              <w:rPr>
                <w:color w:val="000000"/>
                <w:sz w:val="16"/>
                <w:szCs w:val="16"/>
                <w:lang w:eastAsia="en-NZ"/>
              </w:rPr>
            </w:pPr>
            <w:r w:rsidRPr="00AE7E6E">
              <w:rPr>
                <w:color w:val="000000"/>
                <w:sz w:val="16"/>
                <w:szCs w:val="16"/>
                <w:lang w:eastAsia="en-NZ"/>
              </w:rPr>
              <w:t>People residing in these h'holds</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249,850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248,970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243,040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84,460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147,590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148,410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229,780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177,990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25,120</w:t>
            </w:r>
          </w:p>
        </w:tc>
        <w:tc>
          <w:tcPr>
            <w:tcW w:w="0" w:type="auto"/>
            <w:tcBorders>
              <w:top w:val="nil"/>
              <w:left w:val="single" w:sz="4" w:space="0" w:color="auto"/>
              <w:bottom w:val="nil"/>
              <w:right w:val="single" w:sz="4" w:space="0" w:color="auto"/>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249,850</w:t>
            </w:r>
          </w:p>
        </w:tc>
      </w:tr>
      <w:tr w:rsidR="00AE7E6E" w:rsidRPr="00AE7E6E" w:rsidTr="00AE7E6E">
        <w:tc>
          <w:tcPr>
            <w:tcW w:w="0" w:type="auto"/>
            <w:tcBorders>
              <w:top w:val="nil"/>
              <w:left w:val="single" w:sz="4" w:space="0" w:color="auto"/>
              <w:bottom w:val="nil"/>
              <w:right w:val="nil"/>
            </w:tcBorders>
            <w:shd w:val="clear" w:color="auto" w:fill="auto"/>
            <w:noWrap/>
            <w:vAlign w:val="bottom"/>
            <w:hideMark/>
          </w:tcPr>
          <w:p w:rsidR="00AE7E6E" w:rsidRPr="00AE7E6E" w:rsidRDefault="00AE7E6E" w:rsidP="00AE7E6E">
            <w:pPr>
              <w:spacing w:before="0" w:after="0" w:line="240" w:lineRule="auto"/>
              <w:rPr>
                <w:color w:val="000000"/>
                <w:sz w:val="16"/>
                <w:szCs w:val="16"/>
                <w:lang w:eastAsia="en-NZ"/>
              </w:rPr>
            </w:pPr>
            <w:r w:rsidRPr="00AE7E6E">
              <w:rPr>
                <w:color w:val="000000"/>
                <w:sz w:val="16"/>
                <w:szCs w:val="16"/>
                <w:lang w:eastAsia="en-NZ"/>
              </w:rPr>
              <w:t> </w:t>
            </w:r>
          </w:p>
        </w:tc>
        <w:tc>
          <w:tcPr>
            <w:tcW w:w="0" w:type="auto"/>
            <w:tcBorders>
              <w:top w:val="nil"/>
              <w:left w:val="nil"/>
              <w:bottom w:val="nil"/>
              <w:right w:val="single" w:sz="4" w:space="0" w:color="auto"/>
            </w:tcBorders>
            <w:shd w:val="clear" w:color="auto" w:fill="auto"/>
            <w:noWrap/>
            <w:vAlign w:val="bottom"/>
            <w:hideMark/>
          </w:tcPr>
          <w:p w:rsidR="00AE7E6E" w:rsidRPr="00AE7E6E" w:rsidRDefault="00AE7E6E" w:rsidP="00AE7E6E">
            <w:pPr>
              <w:spacing w:before="0" w:after="0" w:line="240" w:lineRule="auto"/>
              <w:rPr>
                <w:color w:val="000000"/>
                <w:sz w:val="16"/>
                <w:szCs w:val="16"/>
                <w:lang w:eastAsia="en-NZ"/>
              </w:rPr>
            </w:pPr>
            <w:r w:rsidRPr="00AE7E6E">
              <w:rPr>
                <w:color w:val="000000"/>
                <w:sz w:val="16"/>
                <w:szCs w:val="16"/>
                <w:lang w:eastAsia="en-NZ"/>
              </w:rPr>
              <w:t>Average h'hold expenditure</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42,600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5,200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10,800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900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7,200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6,200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4,900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7,100</w:t>
            </w:r>
          </w:p>
        </w:tc>
        <w:tc>
          <w:tcPr>
            <w:tcW w:w="0" w:type="auto"/>
            <w:tcBorders>
              <w:top w:val="nil"/>
              <w:left w:val="nil"/>
              <w:bottom w:val="nil"/>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8,000</w:t>
            </w:r>
          </w:p>
        </w:tc>
        <w:tc>
          <w:tcPr>
            <w:tcW w:w="0" w:type="auto"/>
            <w:tcBorders>
              <w:top w:val="nil"/>
              <w:left w:val="single" w:sz="4" w:space="0" w:color="auto"/>
              <w:bottom w:val="nil"/>
              <w:right w:val="single" w:sz="4" w:space="0" w:color="auto"/>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76,200</w:t>
            </w:r>
          </w:p>
        </w:tc>
      </w:tr>
      <w:tr w:rsidR="00AE7E6E" w:rsidRPr="00AE7E6E" w:rsidTr="00AE7E6E">
        <w:tc>
          <w:tcPr>
            <w:tcW w:w="0" w:type="auto"/>
            <w:tcBorders>
              <w:top w:val="nil"/>
              <w:left w:val="single" w:sz="4" w:space="0" w:color="auto"/>
              <w:bottom w:val="single" w:sz="4" w:space="0" w:color="auto"/>
              <w:right w:val="nil"/>
            </w:tcBorders>
            <w:shd w:val="clear" w:color="auto" w:fill="auto"/>
            <w:noWrap/>
            <w:vAlign w:val="bottom"/>
            <w:hideMark/>
          </w:tcPr>
          <w:p w:rsidR="00AE7E6E" w:rsidRPr="00AE7E6E" w:rsidRDefault="00AE7E6E" w:rsidP="00AE7E6E">
            <w:pPr>
              <w:spacing w:before="0" w:after="0" w:line="240" w:lineRule="auto"/>
              <w:rPr>
                <w:color w:val="000000"/>
                <w:sz w:val="16"/>
                <w:szCs w:val="16"/>
                <w:lang w:eastAsia="en-NZ"/>
              </w:rPr>
            </w:pPr>
            <w:r w:rsidRPr="00AE7E6E">
              <w:rPr>
                <w:color w:val="000000"/>
                <w:sz w:val="16"/>
                <w:szCs w:val="16"/>
                <w:lang w:eastAsia="en-NZ"/>
              </w:rPr>
              <w:t> </w:t>
            </w:r>
          </w:p>
        </w:tc>
        <w:tc>
          <w:tcPr>
            <w:tcW w:w="0" w:type="auto"/>
            <w:tcBorders>
              <w:top w:val="nil"/>
              <w:left w:val="nil"/>
              <w:bottom w:val="single" w:sz="4" w:space="0" w:color="auto"/>
              <w:right w:val="single" w:sz="4" w:space="0" w:color="auto"/>
            </w:tcBorders>
            <w:shd w:val="clear" w:color="auto" w:fill="auto"/>
            <w:noWrap/>
            <w:vAlign w:val="bottom"/>
            <w:hideMark/>
          </w:tcPr>
          <w:p w:rsidR="00AE7E6E" w:rsidRPr="00AE7E6E" w:rsidRDefault="00AE7E6E" w:rsidP="00AE7E6E">
            <w:pPr>
              <w:spacing w:before="0" w:after="0" w:line="240" w:lineRule="auto"/>
              <w:rPr>
                <w:color w:val="000000"/>
                <w:sz w:val="16"/>
                <w:szCs w:val="16"/>
                <w:lang w:eastAsia="en-NZ"/>
              </w:rPr>
            </w:pPr>
            <w:r w:rsidRPr="00AE7E6E">
              <w:rPr>
                <w:color w:val="000000"/>
                <w:sz w:val="16"/>
                <w:szCs w:val="16"/>
                <w:lang w:eastAsia="en-NZ"/>
              </w:rPr>
              <w:t>Average per capita expenditure</w:t>
            </w:r>
          </w:p>
        </w:tc>
        <w:tc>
          <w:tcPr>
            <w:tcW w:w="0" w:type="auto"/>
            <w:tcBorders>
              <w:top w:val="nil"/>
              <w:left w:val="nil"/>
              <w:bottom w:val="single" w:sz="4" w:space="0" w:color="auto"/>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8,700</w:t>
            </w:r>
          </w:p>
        </w:tc>
        <w:tc>
          <w:tcPr>
            <w:tcW w:w="0" w:type="auto"/>
            <w:tcBorders>
              <w:top w:val="nil"/>
              <w:left w:val="nil"/>
              <w:bottom w:val="single" w:sz="4" w:space="0" w:color="auto"/>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1,100</w:t>
            </w:r>
          </w:p>
        </w:tc>
        <w:tc>
          <w:tcPr>
            <w:tcW w:w="0" w:type="auto"/>
            <w:tcBorders>
              <w:top w:val="nil"/>
              <w:left w:val="nil"/>
              <w:bottom w:val="single" w:sz="4" w:space="0" w:color="auto"/>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2,200</w:t>
            </w:r>
          </w:p>
        </w:tc>
        <w:tc>
          <w:tcPr>
            <w:tcW w:w="0" w:type="auto"/>
            <w:tcBorders>
              <w:top w:val="nil"/>
              <w:left w:val="nil"/>
              <w:bottom w:val="single" w:sz="4" w:space="0" w:color="auto"/>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200</w:t>
            </w:r>
          </w:p>
        </w:tc>
        <w:tc>
          <w:tcPr>
            <w:tcW w:w="0" w:type="auto"/>
            <w:tcBorders>
              <w:top w:val="nil"/>
              <w:left w:val="nil"/>
              <w:bottom w:val="single" w:sz="4" w:space="0" w:color="auto"/>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1,400</w:t>
            </w:r>
          </w:p>
        </w:tc>
        <w:tc>
          <w:tcPr>
            <w:tcW w:w="0" w:type="auto"/>
            <w:tcBorders>
              <w:top w:val="nil"/>
              <w:left w:val="nil"/>
              <w:bottom w:val="single" w:sz="4" w:space="0" w:color="auto"/>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1,200</w:t>
            </w:r>
          </w:p>
        </w:tc>
        <w:tc>
          <w:tcPr>
            <w:tcW w:w="0" w:type="auto"/>
            <w:tcBorders>
              <w:top w:val="nil"/>
              <w:left w:val="nil"/>
              <w:bottom w:val="single" w:sz="4" w:space="0" w:color="auto"/>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1,000</w:t>
            </w:r>
          </w:p>
        </w:tc>
        <w:tc>
          <w:tcPr>
            <w:tcW w:w="0" w:type="auto"/>
            <w:tcBorders>
              <w:top w:val="nil"/>
              <w:left w:val="nil"/>
              <w:bottom w:val="single" w:sz="4" w:space="0" w:color="auto"/>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1,400</w:t>
            </w:r>
          </w:p>
        </w:tc>
        <w:tc>
          <w:tcPr>
            <w:tcW w:w="0" w:type="auto"/>
            <w:tcBorders>
              <w:top w:val="nil"/>
              <w:left w:val="nil"/>
              <w:bottom w:val="single" w:sz="4" w:space="0" w:color="auto"/>
              <w:right w:val="nil"/>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1,600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AE7E6E" w:rsidRPr="00AE7E6E" w:rsidRDefault="00AE7E6E" w:rsidP="00AE7E6E">
            <w:pPr>
              <w:spacing w:before="0" w:after="0" w:line="240" w:lineRule="auto"/>
              <w:jc w:val="right"/>
              <w:rPr>
                <w:color w:val="000000"/>
                <w:sz w:val="16"/>
                <w:szCs w:val="16"/>
                <w:lang w:eastAsia="en-NZ"/>
              </w:rPr>
            </w:pPr>
            <w:r w:rsidRPr="00AE7E6E">
              <w:rPr>
                <w:color w:val="000000"/>
                <w:sz w:val="16"/>
                <w:szCs w:val="16"/>
                <w:lang w:eastAsia="en-NZ"/>
              </w:rPr>
              <w:t>15,500</w:t>
            </w:r>
          </w:p>
        </w:tc>
      </w:tr>
    </w:tbl>
    <w:p w:rsidR="00FD053A" w:rsidRPr="00490847" w:rsidRDefault="0075764B" w:rsidP="00AE7E6E">
      <w:pPr>
        <w:rPr>
          <w:rFonts w:cs="Times New Roman"/>
          <w:sz w:val="16"/>
        </w:rPr>
      </w:pPr>
      <w:r w:rsidRPr="00490847">
        <w:rPr>
          <w:rFonts w:cs="Times New Roman"/>
          <w:sz w:val="16"/>
        </w:rPr>
        <w:t xml:space="preserve">H’hold </w:t>
      </w:r>
      <w:proofErr w:type="spellStart"/>
      <w:r w:rsidRPr="00490847">
        <w:rPr>
          <w:rFonts w:cs="Times New Roman"/>
          <w:sz w:val="16"/>
        </w:rPr>
        <w:t>opn</w:t>
      </w:r>
      <w:proofErr w:type="spellEnd"/>
      <w:r w:rsidRPr="00490847">
        <w:rPr>
          <w:rFonts w:cs="Times New Roman"/>
          <w:sz w:val="16"/>
        </w:rPr>
        <w:t xml:space="preserve"> = Household Operation</w:t>
      </w:r>
    </w:p>
    <w:p w:rsidR="002C6357" w:rsidRDefault="002C6357">
      <w:pPr>
        <w:spacing w:before="0" w:after="0" w:line="240" w:lineRule="auto"/>
        <w:rPr>
          <w:rFonts w:cs="Times New Roman"/>
        </w:rPr>
      </w:pPr>
      <w:r>
        <w:rPr>
          <w:rFonts w:cs="Times New Roman"/>
        </w:rPr>
        <w:br w:type="page"/>
      </w:r>
    </w:p>
    <w:p w:rsidR="002C6357" w:rsidRPr="002C6357" w:rsidRDefault="002C6357" w:rsidP="002C6357">
      <w:pPr>
        <w:ind w:left="-284"/>
        <w:rPr>
          <w:rFonts w:ascii="Tahoma" w:hAnsi="Tahoma" w:cs="Tahoma"/>
          <w:b/>
        </w:rPr>
      </w:pPr>
      <w:r w:rsidRPr="002C6357">
        <w:rPr>
          <w:rFonts w:ascii="Tahoma" w:hAnsi="Tahoma" w:cs="Tahoma"/>
          <w:b/>
        </w:rPr>
        <w:lastRenderedPageBreak/>
        <w:t>Table 4:</w:t>
      </w:r>
      <w:r w:rsidRPr="002C6357">
        <w:rPr>
          <w:rFonts w:ascii="Tahoma" w:hAnsi="Tahoma" w:cs="Tahoma"/>
          <w:b/>
        </w:rPr>
        <w:tab/>
        <w:t xml:space="preserve">Summary of relative standard errors, 2010 HIES </w:t>
      </w:r>
    </w:p>
    <w:tbl>
      <w:tblPr>
        <w:tblpPr w:leftFromText="180" w:rightFromText="180" w:vertAnchor="text" w:tblpX="93" w:tblpY="1"/>
        <w:tblOverlap w:val="never"/>
        <w:tblW w:w="10273" w:type="dxa"/>
        <w:tblLook w:val="04A0" w:firstRow="1" w:lastRow="0" w:firstColumn="1" w:lastColumn="0" w:noHBand="0" w:noVBand="1"/>
      </w:tblPr>
      <w:tblGrid>
        <w:gridCol w:w="1121"/>
        <w:gridCol w:w="3307"/>
        <w:gridCol w:w="1760"/>
        <w:gridCol w:w="868"/>
        <w:gridCol w:w="1532"/>
        <w:gridCol w:w="1685"/>
      </w:tblGrid>
      <w:tr w:rsidR="00ED105B" w:rsidRPr="009A4938" w:rsidTr="00ED105B">
        <w:tc>
          <w:tcPr>
            <w:tcW w:w="0" w:type="auto"/>
            <w:tcBorders>
              <w:top w:val="single" w:sz="4" w:space="0" w:color="auto"/>
              <w:left w:val="single" w:sz="4" w:space="0" w:color="auto"/>
              <w:bottom w:val="single" w:sz="4" w:space="0" w:color="auto"/>
              <w:right w:val="single" w:sz="4" w:space="0" w:color="000000"/>
            </w:tcBorders>
            <w:shd w:val="clear" w:color="auto" w:fill="auto"/>
            <w:noWrap/>
          </w:tcPr>
          <w:p w:rsidR="00ED105B" w:rsidRPr="009A4938" w:rsidRDefault="00ED105B" w:rsidP="00ED105B">
            <w:pPr>
              <w:spacing w:before="0" w:after="40" w:line="240" w:lineRule="auto"/>
              <w:rPr>
                <w:b/>
                <w:bCs/>
                <w:sz w:val="18"/>
                <w:szCs w:val="18"/>
                <w:lang w:eastAsia="en-NZ"/>
              </w:rPr>
            </w:pPr>
            <w:r>
              <w:rPr>
                <w:b/>
                <w:bCs/>
                <w:sz w:val="18"/>
                <w:szCs w:val="18"/>
                <w:lang w:eastAsia="en-NZ"/>
              </w:rPr>
              <w:t>Region</w:t>
            </w:r>
          </w:p>
        </w:tc>
        <w:tc>
          <w:tcPr>
            <w:tcW w:w="3307" w:type="dxa"/>
            <w:tcBorders>
              <w:top w:val="single" w:sz="4" w:space="0" w:color="auto"/>
              <w:left w:val="single" w:sz="4" w:space="0" w:color="000000"/>
              <w:bottom w:val="single" w:sz="4" w:space="0" w:color="auto"/>
              <w:right w:val="single" w:sz="4" w:space="0" w:color="000000"/>
            </w:tcBorders>
            <w:shd w:val="clear" w:color="auto" w:fill="auto"/>
            <w:noWrap/>
            <w:vAlign w:val="bottom"/>
          </w:tcPr>
          <w:p w:rsidR="00ED105B" w:rsidRPr="009A4938" w:rsidRDefault="00ED105B" w:rsidP="00ED105B">
            <w:pPr>
              <w:spacing w:before="0" w:after="40" w:line="240" w:lineRule="auto"/>
              <w:rPr>
                <w:b/>
                <w:bCs/>
                <w:sz w:val="18"/>
                <w:szCs w:val="18"/>
                <w:lang w:eastAsia="en-NZ"/>
              </w:rPr>
            </w:pPr>
            <w:r w:rsidRPr="009A4938">
              <w:rPr>
                <w:b/>
                <w:bCs/>
                <w:sz w:val="18"/>
                <w:szCs w:val="18"/>
                <w:lang w:eastAsia="en-NZ"/>
              </w:rPr>
              <w:t>Expenditure Group</w:t>
            </w:r>
          </w:p>
        </w:tc>
        <w:tc>
          <w:tcPr>
            <w:tcW w:w="0" w:type="auto"/>
            <w:tcBorders>
              <w:top w:val="single" w:sz="4" w:space="0" w:color="auto"/>
              <w:left w:val="nil"/>
              <w:bottom w:val="single" w:sz="4" w:space="0" w:color="auto"/>
              <w:right w:val="single" w:sz="4" w:space="0" w:color="auto"/>
            </w:tcBorders>
            <w:shd w:val="clear" w:color="auto" w:fill="auto"/>
            <w:noWrap/>
            <w:vAlign w:val="bottom"/>
          </w:tcPr>
          <w:p w:rsidR="00ED105B" w:rsidRPr="009A4938" w:rsidRDefault="00ED105B" w:rsidP="00ED105B">
            <w:pPr>
              <w:spacing w:before="0" w:after="40" w:line="240" w:lineRule="auto"/>
              <w:jc w:val="right"/>
              <w:rPr>
                <w:b/>
                <w:bCs/>
                <w:sz w:val="18"/>
                <w:szCs w:val="18"/>
                <w:lang w:eastAsia="en-NZ"/>
              </w:rPr>
            </w:pPr>
            <w:r w:rsidRPr="009A4938">
              <w:rPr>
                <w:b/>
                <w:bCs/>
                <w:sz w:val="18"/>
                <w:szCs w:val="18"/>
                <w:lang w:eastAsia="en-NZ"/>
              </w:rPr>
              <w:t>Estimate ('000)</w:t>
            </w:r>
          </w:p>
        </w:tc>
        <w:tc>
          <w:tcPr>
            <w:tcW w:w="868" w:type="dxa"/>
            <w:tcBorders>
              <w:top w:val="single" w:sz="4" w:space="0" w:color="auto"/>
              <w:left w:val="single" w:sz="4" w:space="0" w:color="auto"/>
              <w:bottom w:val="single" w:sz="4" w:space="0" w:color="auto"/>
              <w:right w:val="single" w:sz="4" w:space="0" w:color="auto"/>
            </w:tcBorders>
            <w:shd w:val="clear" w:color="000000" w:fill="FFEF94"/>
            <w:noWrap/>
            <w:vAlign w:val="bottom"/>
          </w:tcPr>
          <w:p w:rsidR="00ED105B" w:rsidRPr="009A4938" w:rsidRDefault="00ED105B" w:rsidP="00ED105B">
            <w:pPr>
              <w:spacing w:before="0" w:after="40" w:line="240" w:lineRule="auto"/>
              <w:jc w:val="center"/>
              <w:rPr>
                <w:b/>
                <w:bCs/>
                <w:sz w:val="18"/>
                <w:szCs w:val="18"/>
                <w:lang w:eastAsia="en-NZ"/>
              </w:rPr>
            </w:pPr>
            <w:r w:rsidRPr="009A4938">
              <w:rPr>
                <w:b/>
                <w:bCs/>
                <w:sz w:val="18"/>
                <w:szCs w:val="18"/>
                <w:lang w:eastAsia="en-NZ"/>
              </w:rPr>
              <w:t>RSE</w:t>
            </w:r>
          </w:p>
        </w:tc>
        <w:tc>
          <w:tcPr>
            <w:tcW w:w="3217" w:type="dxa"/>
            <w:gridSpan w:val="2"/>
            <w:tcBorders>
              <w:top w:val="single" w:sz="4" w:space="0" w:color="auto"/>
              <w:left w:val="nil"/>
              <w:bottom w:val="single" w:sz="4" w:space="0" w:color="auto"/>
              <w:right w:val="single" w:sz="4" w:space="0" w:color="auto"/>
            </w:tcBorders>
            <w:shd w:val="clear" w:color="000000" w:fill="FFFFFF"/>
            <w:noWrap/>
            <w:vAlign w:val="bottom"/>
          </w:tcPr>
          <w:p w:rsidR="00ED105B" w:rsidRPr="009A4938" w:rsidRDefault="00ED105B" w:rsidP="00ED105B">
            <w:pPr>
              <w:spacing w:before="0" w:after="40" w:line="240" w:lineRule="auto"/>
              <w:jc w:val="center"/>
              <w:rPr>
                <w:b/>
                <w:bCs/>
                <w:sz w:val="18"/>
                <w:szCs w:val="18"/>
                <w:lang w:eastAsia="en-NZ"/>
              </w:rPr>
            </w:pPr>
            <w:r w:rsidRPr="009A4938">
              <w:rPr>
                <w:b/>
                <w:bCs/>
                <w:sz w:val="18"/>
                <w:szCs w:val="18"/>
                <w:lang w:eastAsia="en-NZ"/>
              </w:rPr>
              <w:t>Rating</w:t>
            </w:r>
          </w:p>
        </w:tc>
      </w:tr>
      <w:tr w:rsidR="00ED105B" w:rsidRPr="009A4938" w:rsidTr="00ED105B">
        <w:tc>
          <w:tcPr>
            <w:tcW w:w="0" w:type="auto"/>
            <w:tcBorders>
              <w:top w:val="single" w:sz="4" w:space="0" w:color="auto"/>
              <w:left w:val="single" w:sz="4" w:space="0" w:color="auto"/>
              <w:right w:val="single" w:sz="4" w:space="0" w:color="000000"/>
            </w:tcBorders>
            <w:shd w:val="clear" w:color="auto" w:fill="auto"/>
            <w:noWrap/>
            <w:hideMark/>
          </w:tcPr>
          <w:p w:rsidR="00ED105B" w:rsidRPr="009A4938" w:rsidRDefault="00ED105B" w:rsidP="00ED105B">
            <w:pPr>
              <w:spacing w:before="0" w:after="40" w:line="240" w:lineRule="auto"/>
              <w:rPr>
                <w:b/>
                <w:bCs/>
                <w:sz w:val="18"/>
                <w:szCs w:val="18"/>
                <w:lang w:eastAsia="en-NZ"/>
              </w:rPr>
            </w:pPr>
            <w:r w:rsidRPr="009A4938">
              <w:rPr>
                <w:b/>
                <w:bCs/>
                <w:sz w:val="18"/>
                <w:szCs w:val="18"/>
                <w:lang w:eastAsia="en-NZ"/>
              </w:rPr>
              <w:t>Vanuatu</w:t>
            </w:r>
          </w:p>
        </w:tc>
        <w:tc>
          <w:tcPr>
            <w:tcW w:w="3307" w:type="dxa"/>
            <w:tcBorders>
              <w:top w:val="single" w:sz="4" w:space="0" w:color="auto"/>
              <w:left w:val="single" w:sz="4" w:space="0" w:color="000000"/>
              <w:right w:val="single" w:sz="4" w:space="0" w:color="000000"/>
            </w:tcBorders>
            <w:shd w:val="clear" w:color="auto" w:fill="auto"/>
            <w:noWrap/>
            <w:vAlign w:val="bottom"/>
            <w:hideMark/>
          </w:tcPr>
          <w:p w:rsidR="00ED105B" w:rsidRPr="009A4938" w:rsidRDefault="00ED105B" w:rsidP="00ED105B">
            <w:pPr>
              <w:spacing w:before="0" w:after="40" w:line="240" w:lineRule="auto"/>
              <w:rPr>
                <w:b/>
                <w:bCs/>
                <w:sz w:val="18"/>
                <w:szCs w:val="18"/>
                <w:lang w:eastAsia="en-NZ"/>
              </w:rPr>
            </w:pPr>
            <w:r w:rsidRPr="009A4938">
              <w:rPr>
                <w:b/>
                <w:bCs/>
                <w:sz w:val="18"/>
                <w:szCs w:val="18"/>
                <w:lang w:eastAsia="en-NZ"/>
              </w:rPr>
              <w:t>Total Household Expenditure</w:t>
            </w:r>
          </w:p>
        </w:tc>
        <w:tc>
          <w:tcPr>
            <w:tcW w:w="0" w:type="auto"/>
            <w:tcBorders>
              <w:top w:val="single" w:sz="4" w:space="0" w:color="auto"/>
              <w:left w:val="nil"/>
              <w:right w:val="single" w:sz="4" w:space="0" w:color="auto"/>
            </w:tcBorders>
            <w:shd w:val="clear" w:color="auto" w:fill="auto"/>
            <w:noWrap/>
            <w:vAlign w:val="bottom"/>
            <w:hideMark/>
          </w:tcPr>
          <w:p w:rsidR="00ED105B" w:rsidRPr="009A4938" w:rsidRDefault="00ED105B" w:rsidP="00ED105B">
            <w:pPr>
              <w:spacing w:before="0" w:after="40" w:line="240" w:lineRule="auto"/>
              <w:jc w:val="right"/>
              <w:rPr>
                <w:b/>
                <w:bCs/>
                <w:sz w:val="18"/>
                <w:szCs w:val="18"/>
                <w:lang w:eastAsia="en-NZ"/>
              </w:rPr>
            </w:pPr>
            <w:r w:rsidRPr="009A4938">
              <w:rPr>
                <w:b/>
                <w:bCs/>
                <w:sz w:val="18"/>
                <w:szCs w:val="18"/>
                <w:lang w:eastAsia="en-NZ"/>
              </w:rPr>
              <w:t>3,830,754</w:t>
            </w:r>
          </w:p>
        </w:tc>
        <w:tc>
          <w:tcPr>
            <w:tcW w:w="868" w:type="dxa"/>
            <w:tcBorders>
              <w:top w:val="single" w:sz="4" w:space="0" w:color="auto"/>
              <w:left w:val="single" w:sz="4" w:space="0" w:color="auto"/>
              <w:right w:val="single" w:sz="4" w:space="0" w:color="auto"/>
            </w:tcBorders>
            <w:shd w:val="clear" w:color="000000" w:fill="FFEF94"/>
            <w:noWrap/>
            <w:vAlign w:val="bottom"/>
            <w:hideMark/>
          </w:tcPr>
          <w:p w:rsidR="00ED105B" w:rsidRPr="009A4938" w:rsidRDefault="00ED105B" w:rsidP="00ED105B">
            <w:pPr>
              <w:spacing w:before="0" w:after="40" w:line="240" w:lineRule="auto"/>
              <w:jc w:val="right"/>
              <w:rPr>
                <w:b/>
                <w:bCs/>
                <w:sz w:val="18"/>
                <w:szCs w:val="18"/>
                <w:lang w:eastAsia="en-NZ"/>
              </w:rPr>
            </w:pPr>
            <w:r w:rsidRPr="009A4938">
              <w:rPr>
                <w:b/>
                <w:bCs/>
                <w:sz w:val="18"/>
                <w:szCs w:val="18"/>
                <w:lang w:eastAsia="en-NZ"/>
              </w:rPr>
              <w:t>2.72%</w:t>
            </w:r>
          </w:p>
        </w:tc>
        <w:tc>
          <w:tcPr>
            <w:tcW w:w="1532" w:type="dxa"/>
            <w:tcBorders>
              <w:top w:val="single" w:sz="4" w:space="0" w:color="auto"/>
              <w:left w:val="nil"/>
              <w:right w:val="nil"/>
            </w:tcBorders>
            <w:shd w:val="clear" w:color="000000" w:fill="FFFFFF"/>
            <w:noWrap/>
            <w:vAlign w:val="bottom"/>
            <w:hideMark/>
          </w:tcPr>
          <w:p w:rsidR="00ED105B" w:rsidRPr="009A4938" w:rsidRDefault="00ED105B" w:rsidP="00ED105B">
            <w:pPr>
              <w:spacing w:before="0" w:after="40" w:line="240" w:lineRule="auto"/>
              <w:rPr>
                <w:rFonts w:ascii="Arial" w:hAnsi="Arial" w:cs="Arial"/>
                <w:sz w:val="18"/>
                <w:szCs w:val="18"/>
                <w:lang w:eastAsia="en-NZ"/>
              </w:rPr>
            </w:pPr>
            <w:r w:rsidRPr="009A4938">
              <w:rPr>
                <w:rFonts w:ascii="Arial" w:hAnsi="Arial" w:cs="Arial"/>
                <w:sz w:val="18"/>
                <w:szCs w:val="18"/>
                <w:lang w:eastAsia="en-NZ"/>
              </w:rPr>
              <w:t>||</w:t>
            </w:r>
          </w:p>
        </w:tc>
        <w:tc>
          <w:tcPr>
            <w:tcW w:w="0" w:type="auto"/>
            <w:tcBorders>
              <w:top w:val="single" w:sz="4" w:space="0" w:color="auto"/>
              <w:left w:val="nil"/>
              <w:right w:val="single" w:sz="4" w:space="0" w:color="auto"/>
            </w:tcBorders>
            <w:shd w:val="clear" w:color="auto" w:fill="auto"/>
            <w:noWrap/>
            <w:vAlign w:val="bottom"/>
            <w:hideMark/>
          </w:tcPr>
          <w:p w:rsidR="00ED105B" w:rsidRPr="009A4938" w:rsidRDefault="00ED105B" w:rsidP="00ED105B">
            <w:pPr>
              <w:spacing w:before="0" w:after="40" w:line="240" w:lineRule="auto"/>
              <w:rPr>
                <w:color w:val="000000"/>
                <w:sz w:val="18"/>
                <w:szCs w:val="18"/>
                <w:lang w:eastAsia="en-NZ"/>
              </w:rPr>
            </w:pPr>
            <w:r w:rsidRPr="009A4938">
              <w:rPr>
                <w:color w:val="000000"/>
                <w:sz w:val="18"/>
                <w:szCs w:val="18"/>
                <w:lang w:eastAsia="en-NZ"/>
              </w:rPr>
              <w:t>Very good</w:t>
            </w:r>
          </w:p>
        </w:tc>
      </w:tr>
      <w:tr w:rsidR="00ED105B" w:rsidRPr="009A4938" w:rsidTr="00ED105B">
        <w:tc>
          <w:tcPr>
            <w:tcW w:w="0" w:type="auto"/>
            <w:tcBorders>
              <w:left w:val="single" w:sz="4" w:space="0" w:color="auto"/>
              <w:right w:val="single" w:sz="4" w:space="0" w:color="000000"/>
            </w:tcBorders>
            <w:shd w:val="clear" w:color="auto" w:fill="auto"/>
            <w:vAlign w:val="center"/>
            <w:hideMark/>
          </w:tcPr>
          <w:p w:rsidR="00ED105B" w:rsidRPr="009A4938" w:rsidRDefault="00ED105B" w:rsidP="00ED105B">
            <w:pPr>
              <w:spacing w:before="0" w:after="40" w:line="240" w:lineRule="auto"/>
              <w:rPr>
                <w:b/>
                <w:bCs/>
                <w:sz w:val="18"/>
                <w:szCs w:val="18"/>
                <w:lang w:eastAsia="en-NZ"/>
              </w:rPr>
            </w:pPr>
          </w:p>
        </w:tc>
        <w:tc>
          <w:tcPr>
            <w:tcW w:w="3307" w:type="dxa"/>
            <w:tcBorders>
              <w:left w:val="single" w:sz="4" w:space="0" w:color="000000"/>
              <w:right w:val="single" w:sz="4" w:space="0" w:color="000000"/>
            </w:tcBorders>
            <w:shd w:val="clear" w:color="auto" w:fill="auto"/>
            <w:noWrap/>
            <w:vAlign w:val="bottom"/>
            <w:hideMark/>
          </w:tcPr>
          <w:p w:rsidR="00ED105B" w:rsidRPr="009A4938" w:rsidRDefault="00ED105B" w:rsidP="00ED105B">
            <w:pPr>
              <w:spacing w:before="0" w:after="40" w:line="240" w:lineRule="auto"/>
              <w:rPr>
                <w:sz w:val="18"/>
                <w:szCs w:val="18"/>
                <w:lang w:eastAsia="en-NZ"/>
              </w:rPr>
            </w:pPr>
            <w:r w:rsidRPr="009A4938">
              <w:rPr>
                <w:sz w:val="18"/>
                <w:szCs w:val="18"/>
                <w:lang w:eastAsia="en-NZ"/>
              </w:rPr>
              <w:t>1 Household Food</w:t>
            </w:r>
          </w:p>
        </w:tc>
        <w:tc>
          <w:tcPr>
            <w:tcW w:w="0" w:type="auto"/>
            <w:tcBorders>
              <w:left w:val="nil"/>
              <w:right w:val="single" w:sz="4" w:space="0" w:color="auto"/>
            </w:tcBorders>
            <w:shd w:val="clear" w:color="auto" w:fill="auto"/>
            <w:noWrap/>
            <w:vAlign w:val="bottom"/>
            <w:hideMark/>
          </w:tcPr>
          <w:p w:rsidR="00ED105B" w:rsidRPr="009A4938" w:rsidRDefault="00ED105B" w:rsidP="00ED105B">
            <w:pPr>
              <w:spacing w:before="0" w:after="40" w:line="240" w:lineRule="auto"/>
              <w:jc w:val="right"/>
              <w:rPr>
                <w:sz w:val="18"/>
                <w:szCs w:val="18"/>
                <w:lang w:eastAsia="en-NZ"/>
              </w:rPr>
            </w:pPr>
            <w:r w:rsidRPr="009A4938">
              <w:rPr>
                <w:sz w:val="18"/>
                <w:szCs w:val="18"/>
                <w:lang w:eastAsia="en-NZ"/>
              </w:rPr>
              <w:t>2,161,984</w:t>
            </w:r>
          </w:p>
        </w:tc>
        <w:tc>
          <w:tcPr>
            <w:tcW w:w="868" w:type="dxa"/>
            <w:tcBorders>
              <w:left w:val="single" w:sz="4" w:space="0" w:color="auto"/>
              <w:right w:val="single" w:sz="4" w:space="0" w:color="auto"/>
            </w:tcBorders>
            <w:shd w:val="clear" w:color="000000" w:fill="FFEF96"/>
            <w:noWrap/>
            <w:vAlign w:val="bottom"/>
            <w:hideMark/>
          </w:tcPr>
          <w:p w:rsidR="00ED105B" w:rsidRPr="009A4938" w:rsidRDefault="00ED105B" w:rsidP="00ED105B">
            <w:pPr>
              <w:spacing w:before="0" w:after="40" w:line="240" w:lineRule="auto"/>
              <w:jc w:val="right"/>
              <w:rPr>
                <w:sz w:val="18"/>
                <w:szCs w:val="18"/>
                <w:lang w:eastAsia="en-NZ"/>
              </w:rPr>
            </w:pPr>
            <w:r w:rsidRPr="009A4938">
              <w:rPr>
                <w:sz w:val="18"/>
                <w:szCs w:val="18"/>
                <w:lang w:eastAsia="en-NZ"/>
              </w:rPr>
              <w:t>2.54%</w:t>
            </w:r>
          </w:p>
        </w:tc>
        <w:tc>
          <w:tcPr>
            <w:tcW w:w="1532" w:type="dxa"/>
            <w:tcBorders>
              <w:left w:val="nil"/>
              <w:right w:val="nil"/>
            </w:tcBorders>
            <w:shd w:val="clear" w:color="000000" w:fill="FFFFFF"/>
            <w:noWrap/>
            <w:vAlign w:val="bottom"/>
            <w:hideMark/>
          </w:tcPr>
          <w:p w:rsidR="00ED105B" w:rsidRPr="009A4938" w:rsidRDefault="00ED105B" w:rsidP="00ED105B">
            <w:pPr>
              <w:spacing w:before="0" w:after="40" w:line="240" w:lineRule="auto"/>
              <w:rPr>
                <w:rFonts w:ascii="Arial" w:hAnsi="Arial" w:cs="Arial"/>
                <w:sz w:val="18"/>
                <w:szCs w:val="18"/>
                <w:lang w:eastAsia="en-NZ"/>
              </w:rPr>
            </w:pPr>
            <w:r w:rsidRPr="009A4938">
              <w:rPr>
                <w:rFonts w:ascii="Arial" w:hAnsi="Arial" w:cs="Arial"/>
                <w:sz w:val="18"/>
                <w:szCs w:val="18"/>
                <w:lang w:eastAsia="en-NZ"/>
              </w:rPr>
              <w:t>||</w:t>
            </w:r>
          </w:p>
        </w:tc>
        <w:tc>
          <w:tcPr>
            <w:tcW w:w="0" w:type="auto"/>
            <w:tcBorders>
              <w:left w:val="nil"/>
              <w:right w:val="single" w:sz="4" w:space="0" w:color="auto"/>
            </w:tcBorders>
            <w:shd w:val="clear" w:color="auto" w:fill="auto"/>
            <w:noWrap/>
            <w:vAlign w:val="bottom"/>
            <w:hideMark/>
          </w:tcPr>
          <w:p w:rsidR="00ED105B" w:rsidRPr="009A4938" w:rsidRDefault="00ED105B" w:rsidP="00ED105B">
            <w:pPr>
              <w:spacing w:before="0" w:after="40" w:line="240" w:lineRule="auto"/>
              <w:rPr>
                <w:color w:val="000000"/>
                <w:sz w:val="18"/>
                <w:szCs w:val="18"/>
                <w:lang w:eastAsia="en-NZ"/>
              </w:rPr>
            </w:pPr>
            <w:r w:rsidRPr="009A4938">
              <w:rPr>
                <w:color w:val="000000"/>
                <w:sz w:val="18"/>
                <w:szCs w:val="18"/>
                <w:lang w:eastAsia="en-NZ"/>
              </w:rPr>
              <w:t>Very good</w:t>
            </w:r>
          </w:p>
        </w:tc>
      </w:tr>
      <w:tr w:rsidR="00ED105B" w:rsidRPr="009A4938" w:rsidTr="00ED105B">
        <w:tc>
          <w:tcPr>
            <w:tcW w:w="0" w:type="auto"/>
            <w:tcBorders>
              <w:left w:val="single" w:sz="4" w:space="0" w:color="auto"/>
              <w:right w:val="single" w:sz="4" w:space="0" w:color="000000"/>
            </w:tcBorders>
            <w:shd w:val="clear" w:color="auto" w:fill="auto"/>
            <w:vAlign w:val="center"/>
            <w:hideMark/>
          </w:tcPr>
          <w:p w:rsidR="00ED105B" w:rsidRPr="009A4938" w:rsidRDefault="00ED105B" w:rsidP="00ED105B">
            <w:pPr>
              <w:spacing w:before="0" w:after="40" w:line="240" w:lineRule="auto"/>
              <w:rPr>
                <w:b/>
                <w:bCs/>
                <w:sz w:val="18"/>
                <w:szCs w:val="18"/>
                <w:lang w:eastAsia="en-NZ"/>
              </w:rPr>
            </w:pPr>
          </w:p>
        </w:tc>
        <w:tc>
          <w:tcPr>
            <w:tcW w:w="3307" w:type="dxa"/>
            <w:tcBorders>
              <w:left w:val="single" w:sz="4" w:space="0" w:color="000000"/>
              <w:right w:val="single" w:sz="4" w:space="0" w:color="000000"/>
            </w:tcBorders>
            <w:shd w:val="clear" w:color="auto" w:fill="auto"/>
            <w:noWrap/>
            <w:vAlign w:val="bottom"/>
            <w:hideMark/>
          </w:tcPr>
          <w:p w:rsidR="00ED105B" w:rsidRPr="009A4938" w:rsidRDefault="00ED105B" w:rsidP="00ED105B">
            <w:pPr>
              <w:spacing w:before="0" w:after="40" w:line="240" w:lineRule="auto"/>
              <w:rPr>
                <w:sz w:val="18"/>
                <w:szCs w:val="18"/>
                <w:lang w:eastAsia="en-NZ"/>
              </w:rPr>
            </w:pPr>
            <w:r w:rsidRPr="009A4938">
              <w:rPr>
                <w:sz w:val="18"/>
                <w:szCs w:val="18"/>
                <w:lang w:eastAsia="en-NZ"/>
              </w:rPr>
              <w:t>2 Housing</w:t>
            </w:r>
          </w:p>
        </w:tc>
        <w:tc>
          <w:tcPr>
            <w:tcW w:w="0" w:type="auto"/>
            <w:tcBorders>
              <w:left w:val="nil"/>
              <w:right w:val="single" w:sz="4" w:space="0" w:color="auto"/>
            </w:tcBorders>
            <w:shd w:val="clear" w:color="auto" w:fill="auto"/>
            <w:noWrap/>
            <w:vAlign w:val="bottom"/>
            <w:hideMark/>
          </w:tcPr>
          <w:p w:rsidR="00ED105B" w:rsidRPr="009A4938" w:rsidRDefault="00ED105B" w:rsidP="00ED105B">
            <w:pPr>
              <w:spacing w:before="0" w:after="40" w:line="240" w:lineRule="auto"/>
              <w:jc w:val="right"/>
              <w:rPr>
                <w:sz w:val="18"/>
                <w:szCs w:val="18"/>
                <w:lang w:eastAsia="en-NZ"/>
              </w:rPr>
            </w:pPr>
            <w:r w:rsidRPr="009A4938">
              <w:rPr>
                <w:sz w:val="18"/>
                <w:szCs w:val="18"/>
                <w:lang w:eastAsia="en-NZ"/>
              </w:rPr>
              <w:t>263,852</w:t>
            </w:r>
          </w:p>
        </w:tc>
        <w:tc>
          <w:tcPr>
            <w:tcW w:w="868" w:type="dxa"/>
            <w:tcBorders>
              <w:left w:val="single" w:sz="4" w:space="0" w:color="auto"/>
              <w:right w:val="single" w:sz="4" w:space="0" w:color="auto"/>
            </w:tcBorders>
            <w:shd w:val="clear" w:color="000000" w:fill="FFD271"/>
            <w:noWrap/>
            <w:vAlign w:val="bottom"/>
            <w:hideMark/>
          </w:tcPr>
          <w:p w:rsidR="00ED105B" w:rsidRPr="009A4938" w:rsidRDefault="00ED105B" w:rsidP="00ED105B">
            <w:pPr>
              <w:spacing w:before="0" w:after="40" w:line="240" w:lineRule="auto"/>
              <w:jc w:val="right"/>
              <w:rPr>
                <w:sz w:val="18"/>
                <w:szCs w:val="18"/>
                <w:lang w:eastAsia="en-NZ"/>
              </w:rPr>
            </w:pPr>
            <w:r w:rsidRPr="009A4938">
              <w:rPr>
                <w:sz w:val="18"/>
                <w:szCs w:val="18"/>
                <w:lang w:eastAsia="en-NZ"/>
              </w:rPr>
              <w:t>8.20%</w:t>
            </w:r>
          </w:p>
        </w:tc>
        <w:tc>
          <w:tcPr>
            <w:tcW w:w="1532" w:type="dxa"/>
            <w:tcBorders>
              <w:left w:val="nil"/>
              <w:right w:val="nil"/>
            </w:tcBorders>
            <w:shd w:val="clear" w:color="000000" w:fill="FFFFFF"/>
            <w:noWrap/>
            <w:vAlign w:val="bottom"/>
            <w:hideMark/>
          </w:tcPr>
          <w:p w:rsidR="00ED105B" w:rsidRPr="009A4938" w:rsidRDefault="00ED105B" w:rsidP="00ED105B">
            <w:pPr>
              <w:spacing w:before="0" w:after="40" w:line="240" w:lineRule="auto"/>
              <w:rPr>
                <w:rFonts w:ascii="Arial" w:hAnsi="Arial" w:cs="Arial"/>
                <w:sz w:val="18"/>
                <w:szCs w:val="18"/>
                <w:lang w:eastAsia="en-NZ"/>
              </w:rPr>
            </w:pPr>
            <w:r w:rsidRPr="009A4938">
              <w:rPr>
                <w:rFonts w:ascii="Arial" w:hAnsi="Arial" w:cs="Arial"/>
                <w:sz w:val="18"/>
                <w:szCs w:val="18"/>
                <w:lang w:eastAsia="en-NZ"/>
              </w:rPr>
              <w:t>||||||||</w:t>
            </w:r>
          </w:p>
        </w:tc>
        <w:tc>
          <w:tcPr>
            <w:tcW w:w="0" w:type="auto"/>
            <w:tcBorders>
              <w:left w:val="nil"/>
              <w:right w:val="single" w:sz="4" w:space="0" w:color="auto"/>
            </w:tcBorders>
            <w:shd w:val="clear" w:color="auto" w:fill="auto"/>
            <w:noWrap/>
            <w:vAlign w:val="bottom"/>
            <w:hideMark/>
          </w:tcPr>
          <w:p w:rsidR="00ED105B" w:rsidRPr="009A4938" w:rsidRDefault="00ED105B" w:rsidP="00ED105B">
            <w:pPr>
              <w:spacing w:before="0" w:after="40" w:line="240" w:lineRule="auto"/>
              <w:rPr>
                <w:color w:val="000000"/>
                <w:sz w:val="18"/>
                <w:szCs w:val="18"/>
                <w:lang w:eastAsia="en-NZ"/>
              </w:rPr>
            </w:pPr>
            <w:r w:rsidRPr="009A4938">
              <w:rPr>
                <w:color w:val="000000"/>
                <w:sz w:val="18"/>
                <w:szCs w:val="18"/>
                <w:lang w:eastAsia="en-NZ"/>
              </w:rPr>
              <w:t>Good</w:t>
            </w:r>
          </w:p>
        </w:tc>
      </w:tr>
      <w:tr w:rsidR="00ED105B" w:rsidRPr="009A4938" w:rsidTr="00ED105B">
        <w:tc>
          <w:tcPr>
            <w:tcW w:w="0" w:type="auto"/>
            <w:tcBorders>
              <w:left w:val="single" w:sz="4" w:space="0" w:color="auto"/>
              <w:right w:val="single" w:sz="4" w:space="0" w:color="000000"/>
            </w:tcBorders>
            <w:shd w:val="clear" w:color="auto" w:fill="auto"/>
            <w:vAlign w:val="center"/>
            <w:hideMark/>
          </w:tcPr>
          <w:p w:rsidR="00ED105B" w:rsidRPr="009A4938" w:rsidRDefault="00ED105B" w:rsidP="00ED105B">
            <w:pPr>
              <w:spacing w:before="0" w:after="40" w:line="240" w:lineRule="auto"/>
              <w:rPr>
                <w:b/>
                <w:bCs/>
                <w:sz w:val="18"/>
                <w:szCs w:val="18"/>
                <w:lang w:eastAsia="en-NZ"/>
              </w:rPr>
            </w:pPr>
          </w:p>
        </w:tc>
        <w:tc>
          <w:tcPr>
            <w:tcW w:w="3307" w:type="dxa"/>
            <w:tcBorders>
              <w:left w:val="single" w:sz="4" w:space="0" w:color="000000"/>
              <w:right w:val="single" w:sz="4" w:space="0" w:color="000000"/>
            </w:tcBorders>
            <w:shd w:val="clear" w:color="auto" w:fill="auto"/>
            <w:noWrap/>
            <w:vAlign w:val="bottom"/>
            <w:hideMark/>
          </w:tcPr>
          <w:p w:rsidR="00ED105B" w:rsidRPr="009A4938" w:rsidRDefault="00ED105B" w:rsidP="00ED105B">
            <w:pPr>
              <w:spacing w:before="0" w:after="40" w:line="240" w:lineRule="auto"/>
              <w:rPr>
                <w:sz w:val="18"/>
                <w:szCs w:val="18"/>
                <w:lang w:eastAsia="en-NZ"/>
              </w:rPr>
            </w:pPr>
            <w:r w:rsidRPr="009A4938">
              <w:rPr>
                <w:sz w:val="18"/>
                <w:szCs w:val="18"/>
                <w:lang w:eastAsia="en-NZ"/>
              </w:rPr>
              <w:t>3 Household Operations</w:t>
            </w:r>
          </w:p>
        </w:tc>
        <w:tc>
          <w:tcPr>
            <w:tcW w:w="0" w:type="auto"/>
            <w:tcBorders>
              <w:left w:val="nil"/>
              <w:right w:val="single" w:sz="4" w:space="0" w:color="auto"/>
            </w:tcBorders>
            <w:shd w:val="clear" w:color="auto" w:fill="auto"/>
            <w:noWrap/>
            <w:vAlign w:val="bottom"/>
            <w:hideMark/>
          </w:tcPr>
          <w:p w:rsidR="00ED105B" w:rsidRPr="009A4938" w:rsidRDefault="00ED105B" w:rsidP="00ED105B">
            <w:pPr>
              <w:spacing w:before="0" w:after="40" w:line="240" w:lineRule="auto"/>
              <w:jc w:val="right"/>
              <w:rPr>
                <w:sz w:val="18"/>
                <w:szCs w:val="18"/>
                <w:lang w:eastAsia="en-NZ"/>
              </w:rPr>
            </w:pPr>
            <w:r w:rsidRPr="009A4938">
              <w:rPr>
                <w:sz w:val="18"/>
                <w:szCs w:val="18"/>
                <w:lang w:eastAsia="en-NZ"/>
              </w:rPr>
              <w:t>528,304</w:t>
            </w:r>
          </w:p>
        </w:tc>
        <w:tc>
          <w:tcPr>
            <w:tcW w:w="868" w:type="dxa"/>
            <w:tcBorders>
              <w:left w:val="single" w:sz="4" w:space="0" w:color="auto"/>
              <w:right w:val="single" w:sz="4" w:space="0" w:color="auto"/>
            </w:tcBorders>
            <w:shd w:val="clear" w:color="000000" w:fill="FFE580"/>
            <w:noWrap/>
            <w:vAlign w:val="bottom"/>
            <w:hideMark/>
          </w:tcPr>
          <w:p w:rsidR="00ED105B" w:rsidRPr="009A4938" w:rsidRDefault="00ED105B" w:rsidP="00ED105B">
            <w:pPr>
              <w:spacing w:before="0" w:after="40" w:line="240" w:lineRule="auto"/>
              <w:jc w:val="right"/>
              <w:rPr>
                <w:sz w:val="18"/>
                <w:szCs w:val="18"/>
                <w:lang w:eastAsia="en-NZ"/>
              </w:rPr>
            </w:pPr>
            <w:r w:rsidRPr="009A4938">
              <w:rPr>
                <w:sz w:val="18"/>
                <w:szCs w:val="18"/>
                <w:lang w:eastAsia="en-NZ"/>
              </w:rPr>
              <w:t>4.78%</w:t>
            </w:r>
          </w:p>
        </w:tc>
        <w:tc>
          <w:tcPr>
            <w:tcW w:w="1532" w:type="dxa"/>
            <w:tcBorders>
              <w:left w:val="nil"/>
              <w:right w:val="nil"/>
            </w:tcBorders>
            <w:shd w:val="clear" w:color="000000" w:fill="FFFFFF"/>
            <w:noWrap/>
            <w:vAlign w:val="bottom"/>
            <w:hideMark/>
          </w:tcPr>
          <w:p w:rsidR="00ED105B" w:rsidRPr="009A4938" w:rsidRDefault="00ED105B" w:rsidP="00ED105B">
            <w:pPr>
              <w:spacing w:before="0" w:after="40" w:line="240" w:lineRule="auto"/>
              <w:rPr>
                <w:rFonts w:ascii="Arial" w:hAnsi="Arial" w:cs="Arial"/>
                <w:sz w:val="18"/>
                <w:szCs w:val="18"/>
                <w:lang w:eastAsia="en-NZ"/>
              </w:rPr>
            </w:pPr>
            <w:r w:rsidRPr="009A4938">
              <w:rPr>
                <w:rFonts w:ascii="Arial" w:hAnsi="Arial" w:cs="Arial"/>
                <w:sz w:val="18"/>
                <w:szCs w:val="18"/>
                <w:lang w:eastAsia="en-NZ"/>
              </w:rPr>
              <w:t>||||</w:t>
            </w:r>
          </w:p>
        </w:tc>
        <w:tc>
          <w:tcPr>
            <w:tcW w:w="0" w:type="auto"/>
            <w:tcBorders>
              <w:left w:val="nil"/>
              <w:right w:val="single" w:sz="4" w:space="0" w:color="auto"/>
            </w:tcBorders>
            <w:shd w:val="clear" w:color="auto" w:fill="auto"/>
            <w:noWrap/>
            <w:vAlign w:val="bottom"/>
            <w:hideMark/>
          </w:tcPr>
          <w:p w:rsidR="00ED105B" w:rsidRPr="009A4938" w:rsidRDefault="00ED105B" w:rsidP="00ED105B">
            <w:pPr>
              <w:spacing w:before="0" w:after="40" w:line="240" w:lineRule="auto"/>
              <w:rPr>
                <w:color w:val="000000"/>
                <w:sz w:val="18"/>
                <w:szCs w:val="18"/>
                <w:lang w:eastAsia="en-NZ"/>
              </w:rPr>
            </w:pPr>
            <w:r w:rsidRPr="009A4938">
              <w:rPr>
                <w:color w:val="000000"/>
                <w:sz w:val="18"/>
                <w:szCs w:val="18"/>
                <w:lang w:eastAsia="en-NZ"/>
              </w:rPr>
              <w:t>Very good</w:t>
            </w:r>
          </w:p>
        </w:tc>
      </w:tr>
      <w:tr w:rsidR="00ED105B" w:rsidRPr="009A4938" w:rsidTr="00ED105B">
        <w:tc>
          <w:tcPr>
            <w:tcW w:w="0" w:type="auto"/>
            <w:tcBorders>
              <w:left w:val="single" w:sz="4" w:space="0" w:color="auto"/>
              <w:right w:val="single" w:sz="4" w:space="0" w:color="000000"/>
            </w:tcBorders>
            <w:shd w:val="clear" w:color="auto" w:fill="auto"/>
            <w:vAlign w:val="center"/>
            <w:hideMark/>
          </w:tcPr>
          <w:p w:rsidR="00ED105B" w:rsidRPr="009A4938" w:rsidRDefault="00ED105B" w:rsidP="00ED105B">
            <w:pPr>
              <w:spacing w:before="0" w:after="40" w:line="240" w:lineRule="auto"/>
              <w:rPr>
                <w:b/>
                <w:bCs/>
                <w:sz w:val="18"/>
                <w:szCs w:val="18"/>
                <w:lang w:eastAsia="en-NZ"/>
              </w:rPr>
            </w:pPr>
          </w:p>
        </w:tc>
        <w:tc>
          <w:tcPr>
            <w:tcW w:w="3307" w:type="dxa"/>
            <w:tcBorders>
              <w:left w:val="single" w:sz="4" w:space="0" w:color="000000"/>
              <w:right w:val="single" w:sz="4" w:space="0" w:color="000000"/>
            </w:tcBorders>
            <w:shd w:val="clear" w:color="auto" w:fill="auto"/>
            <w:noWrap/>
            <w:vAlign w:val="bottom"/>
            <w:hideMark/>
          </w:tcPr>
          <w:p w:rsidR="00ED105B" w:rsidRPr="009A4938" w:rsidRDefault="00ED105B" w:rsidP="00ED105B">
            <w:pPr>
              <w:spacing w:before="0" w:after="40" w:line="240" w:lineRule="auto"/>
              <w:rPr>
                <w:sz w:val="18"/>
                <w:szCs w:val="18"/>
                <w:lang w:eastAsia="en-NZ"/>
              </w:rPr>
            </w:pPr>
            <w:r w:rsidRPr="009A4938">
              <w:rPr>
                <w:sz w:val="18"/>
                <w:szCs w:val="18"/>
                <w:lang w:eastAsia="en-NZ"/>
              </w:rPr>
              <w:t>4 Clothing &amp; Footwear</w:t>
            </w:r>
          </w:p>
        </w:tc>
        <w:tc>
          <w:tcPr>
            <w:tcW w:w="0" w:type="auto"/>
            <w:tcBorders>
              <w:left w:val="nil"/>
              <w:right w:val="single" w:sz="4" w:space="0" w:color="auto"/>
            </w:tcBorders>
            <w:shd w:val="clear" w:color="auto" w:fill="auto"/>
            <w:noWrap/>
            <w:vAlign w:val="bottom"/>
            <w:hideMark/>
          </w:tcPr>
          <w:p w:rsidR="00ED105B" w:rsidRPr="009A4938" w:rsidRDefault="00ED105B" w:rsidP="00ED105B">
            <w:pPr>
              <w:spacing w:before="0" w:after="40" w:line="240" w:lineRule="auto"/>
              <w:jc w:val="right"/>
              <w:rPr>
                <w:sz w:val="18"/>
                <w:szCs w:val="18"/>
                <w:lang w:eastAsia="en-NZ"/>
              </w:rPr>
            </w:pPr>
            <w:r w:rsidRPr="009A4938">
              <w:rPr>
                <w:sz w:val="18"/>
                <w:szCs w:val="18"/>
                <w:lang w:eastAsia="en-NZ"/>
              </w:rPr>
              <w:t>14,247</w:t>
            </w:r>
          </w:p>
        </w:tc>
        <w:tc>
          <w:tcPr>
            <w:tcW w:w="868" w:type="dxa"/>
            <w:tcBorders>
              <w:left w:val="single" w:sz="4" w:space="0" w:color="auto"/>
              <w:right w:val="single" w:sz="4" w:space="0" w:color="auto"/>
            </w:tcBorders>
            <w:shd w:val="clear" w:color="000000" w:fill="FFDC79"/>
            <w:noWrap/>
            <w:vAlign w:val="bottom"/>
            <w:hideMark/>
          </w:tcPr>
          <w:p w:rsidR="00ED105B" w:rsidRPr="009A4938" w:rsidRDefault="00ED105B" w:rsidP="00ED105B">
            <w:pPr>
              <w:spacing w:before="0" w:after="40" w:line="240" w:lineRule="auto"/>
              <w:jc w:val="right"/>
              <w:rPr>
                <w:sz w:val="18"/>
                <w:szCs w:val="18"/>
                <w:lang w:eastAsia="en-NZ"/>
              </w:rPr>
            </w:pPr>
            <w:r w:rsidRPr="009A4938">
              <w:rPr>
                <w:sz w:val="18"/>
                <w:szCs w:val="18"/>
                <w:lang w:eastAsia="en-NZ"/>
              </w:rPr>
              <w:t>6.42%</w:t>
            </w:r>
          </w:p>
        </w:tc>
        <w:tc>
          <w:tcPr>
            <w:tcW w:w="1532" w:type="dxa"/>
            <w:tcBorders>
              <w:left w:val="nil"/>
              <w:right w:val="nil"/>
            </w:tcBorders>
            <w:shd w:val="clear" w:color="000000" w:fill="FFFFFF"/>
            <w:noWrap/>
            <w:vAlign w:val="bottom"/>
            <w:hideMark/>
          </w:tcPr>
          <w:p w:rsidR="00ED105B" w:rsidRPr="009A4938" w:rsidRDefault="00ED105B" w:rsidP="00ED105B">
            <w:pPr>
              <w:spacing w:before="0" w:after="40" w:line="240" w:lineRule="auto"/>
              <w:rPr>
                <w:rFonts w:ascii="Arial" w:hAnsi="Arial" w:cs="Arial"/>
                <w:sz w:val="18"/>
                <w:szCs w:val="18"/>
                <w:lang w:eastAsia="en-NZ"/>
              </w:rPr>
            </w:pPr>
            <w:r w:rsidRPr="009A4938">
              <w:rPr>
                <w:rFonts w:ascii="Arial" w:hAnsi="Arial" w:cs="Arial"/>
                <w:sz w:val="18"/>
                <w:szCs w:val="18"/>
                <w:lang w:eastAsia="en-NZ"/>
              </w:rPr>
              <w:t>||||||</w:t>
            </w:r>
          </w:p>
        </w:tc>
        <w:tc>
          <w:tcPr>
            <w:tcW w:w="0" w:type="auto"/>
            <w:tcBorders>
              <w:left w:val="nil"/>
              <w:right w:val="single" w:sz="4" w:space="0" w:color="auto"/>
            </w:tcBorders>
            <w:shd w:val="clear" w:color="auto" w:fill="auto"/>
            <w:noWrap/>
            <w:vAlign w:val="bottom"/>
            <w:hideMark/>
          </w:tcPr>
          <w:p w:rsidR="00ED105B" w:rsidRPr="009A4938" w:rsidRDefault="00ED105B" w:rsidP="00ED105B">
            <w:pPr>
              <w:spacing w:before="0" w:after="40" w:line="240" w:lineRule="auto"/>
              <w:rPr>
                <w:color w:val="000000"/>
                <w:sz w:val="18"/>
                <w:szCs w:val="18"/>
                <w:lang w:eastAsia="en-NZ"/>
              </w:rPr>
            </w:pPr>
            <w:r w:rsidRPr="009A4938">
              <w:rPr>
                <w:color w:val="000000"/>
                <w:sz w:val="18"/>
                <w:szCs w:val="18"/>
                <w:lang w:eastAsia="en-NZ"/>
              </w:rPr>
              <w:t>Good</w:t>
            </w:r>
          </w:p>
        </w:tc>
      </w:tr>
      <w:tr w:rsidR="00ED105B" w:rsidRPr="009A4938" w:rsidTr="00ED105B">
        <w:tc>
          <w:tcPr>
            <w:tcW w:w="0" w:type="auto"/>
            <w:tcBorders>
              <w:left w:val="single" w:sz="4" w:space="0" w:color="auto"/>
              <w:right w:val="single" w:sz="4" w:space="0" w:color="000000"/>
            </w:tcBorders>
            <w:shd w:val="clear" w:color="auto" w:fill="auto"/>
            <w:vAlign w:val="center"/>
            <w:hideMark/>
          </w:tcPr>
          <w:p w:rsidR="00ED105B" w:rsidRPr="009A4938" w:rsidRDefault="00ED105B" w:rsidP="00ED105B">
            <w:pPr>
              <w:spacing w:before="0" w:after="40" w:line="240" w:lineRule="auto"/>
              <w:rPr>
                <w:b/>
                <w:bCs/>
                <w:sz w:val="18"/>
                <w:szCs w:val="18"/>
                <w:lang w:eastAsia="en-NZ"/>
              </w:rPr>
            </w:pPr>
          </w:p>
        </w:tc>
        <w:tc>
          <w:tcPr>
            <w:tcW w:w="3307" w:type="dxa"/>
            <w:tcBorders>
              <w:left w:val="single" w:sz="4" w:space="0" w:color="000000"/>
              <w:right w:val="single" w:sz="4" w:space="0" w:color="000000"/>
            </w:tcBorders>
            <w:shd w:val="clear" w:color="auto" w:fill="auto"/>
            <w:noWrap/>
            <w:vAlign w:val="bottom"/>
            <w:hideMark/>
          </w:tcPr>
          <w:p w:rsidR="00ED105B" w:rsidRPr="009A4938" w:rsidRDefault="00ED105B" w:rsidP="00ED105B">
            <w:pPr>
              <w:spacing w:before="0" w:after="40" w:line="240" w:lineRule="auto"/>
              <w:rPr>
                <w:sz w:val="18"/>
                <w:szCs w:val="18"/>
                <w:lang w:eastAsia="en-NZ"/>
              </w:rPr>
            </w:pPr>
            <w:r w:rsidRPr="009A4938">
              <w:rPr>
                <w:sz w:val="18"/>
                <w:szCs w:val="18"/>
                <w:lang w:eastAsia="en-NZ"/>
              </w:rPr>
              <w:t>5 Transport</w:t>
            </w:r>
          </w:p>
        </w:tc>
        <w:tc>
          <w:tcPr>
            <w:tcW w:w="0" w:type="auto"/>
            <w:tcBorders>
              <w:left w:val="nil"/>
              <w:right w:val="single" w:sz="4" w:space="0" w:color="auto"/>
            </w:tcBorders>
            <w:shd w:val="clear" w:color="auto" w:fill="auto"/>
            <w:noWrap/>
            <w:vAlign w:val="bottom"/>
            <w:hideMark/>
          </w:tcPr>
          <w:p w:rsidR="00ED105B" w:rsidRPr="009A4938" w:rsidRDefault="00ED105B" w:rsidP="00ED105B">
            <w:pPr>
              <w:spacing w:before="0" w:after="40" w:line="240" w:lineRule="auto"/>
              <w:jc w:val="right"/>
              <w:rPr>
                <w:sz w:val="18"/>
                <w:szCs w:val="18"/>
                <w:lang w:eastAsia="en-NZ"/>
              </w:rPr>
            </w:pPr>
            <w:r w:rsidRPr="009A4938">
              <w:rPr>
                <w:sz w:val="18"/>
                <w:szCs w:val="18"/>
                <w:lang w:eastAsia="en-NZ"/>
              </w:rPr>
              <w:t>205,538</w:t>
            </w:r>
          </w:p>
        </w:tc>
        <w:tc>
          <w:tcPr>
            <w:tcW w:w="868" w:type="dxa"/>
            <w:tcBorders>
              <w:left w:val="single" w:sz="4" w:space="0" w:color="auto"/>
              <w:right w:val="single" w:sz="4" w:space="0" w:color="auto"/>
            </w:tcBorders>
            <w:shd w:val="clear" w:color="000000" w:fill="FFD473"/>
            <w:noWrap/>
            <w:vAlign w:val="bottom"/>
            <w:hideMark/>
          </w:tcPr>
          <w:p w:rsidR="00ED105B" w:rsidRPr="009A4938" w:rsidRDefault="00ED105B" w:rsidP="00ED105B">
            <w:pPr>
              <w:spacing w:before="0" w:after="40" w:line="240" w:lineRule="auto"/>
              <w:jc w:val="right"/>
              <w:rPr>
                <w:sz w:val="18"/>
                <w:szCs w:val="18"/>
                <w:lang w:eastAsia="en-NZ"/>
              </w:rPr>
            </w:pPr>
            <w:r w:rsidRPr="009A4938">
              <w:rPr>
                <w:sz w:val="18"/>
                <w:szCs w:val="18"/>
                <w:lang w:eastAsia="en-NZ"/>
              </w:rPr>
              <w:t>7.92%</w:t>
            </w:r>
          </w:p>
        </w:tc>
        <w:tc>
          <w:tcPr>
            <w:tcW w:w="1532" w:type="dxa"/>
            <w:tcBorders>
              <w:left w:val="nil"/>
              <w:right w:val="nil"/>
            </w:tcBorders>
            <w:shd w:val="clear" w:color="000000" w:fill="FFFFFF"/>
            <w:noWrap/>
            <w:vAlign w:val="bottom"/>
            <w:hideMark/>
          </w:tcPr>
          <w:p w:rsidR="00ED105B" w:rsidRPr="009A4938" w:rsidRDefault="00ED105B" w:rsidP="00ED105B">
            <w:pPr>
              <w:spacing w:before="0" w:after="40" w:line="240" w:lineRule="auto"/>
              <w:rPr>
                <w:rFonts w:ascii="Arial" w:hAnsi="Arial" w:cs="Arial"/>
                <w:sz w:val="18"/>
                <w:szCs w:val="18"/>
                <w:lang w:eastAsia="en-NZ"/>
              </w:rPr>
            </w:pPr>
            <w:r w:rsidRPr="009A4938">
              <w:rPr>
                <w:rFonts w:ascii="Arial" w:hAnsi="Arial" w:cs="Arial"/>
                <w:sz w:val="18"/>
                <w:szCs w:val="18"/>
                <w:lang w:eastAsia="en-NZ"/>
              </w:rPr>
              <w:t>|||||||</w:t>
            </w:r>
          </w:p>
        </w:tc>
        <w:tc>
          <w:tcPr>
            <w:tcW w:w="0" w:type="auto"/>
            <w:tcBorders>
              <w:left w:val="nil"/>
              <w:right w:val="single" w:sz="4" w:space="0" w:color="auto"/>
            </w:tcBorders>
            <w:shd w:val="clear" w:color="auto" w:fill="auto"/>
            <w:noWrap/>
            <w:vAlign w:val="bottom"/>
            <w:hideMark/>
          </w:tcPr>
          <w:p w:rsidR="00ED105B" w:rsidRPr="009A4938" w:rsidRDefault="00ED105B" w:rsidP="00ED105B">
            <w:pPr>
              <w:spacing w:before="0" w:after="40" w:line="240" w:lineRule="auto"/>
              <w:rPr>
                <w:color w:val="000000"/>
                <w:sz w:val="18"/>
                <w:szCs w:val="18"/>
                <w:lang w:eastAsia="en-NZ"/>
              </w:rPr>
            </w:pPr>
            <w:r w:rsidRPr="009A4938">
              <w:rPr>
                <w:color w:val="000000"/>
                <w:sz w:val="18"/>
                <w:szCs w:val="18"/>
                <w:lang w:eastAsia="en-NZ"/>
              </w:rPr>
              <w:t>Good</w:t>
            </w:r>
          </w:p>
        </w:tc>
      </w:tr>
      <w:tr w:rsidR="00ED105B" w:rsidRPr="009A4938" w:rsidTr="00ED105B">
        <w:tc>
          <w:tcPr>
            <w:tcW w:w="0" w:type="auto"/>
            <w:tcBorders>
              <w:left w:val="single" w:sz="4" w:space="0" w:color="auto"/>
              <w:right w:val="single" w:sz="4" w:space="0" w:color="000000"/>
            </w:tcBorders>
            <w:shd w:val="clear" w:color="auto" w:fill="auto"/>
            <w:vAlign w:val="center"/>
            <w:hideMark/>
          </w:tcPr>
          <w:p w:rsidR="00ED105B" w:rsidRPr="009A4938" w:rsidRDefault="00ED105B" w:rsidP="00ED105B">
            <w:pPr>
              <w:spacing w:before="0" w:after="40" w:line="240" w:lineRule="auto"/>
              <w:rPr>
                <w:b/>
                <w:bCs/>
                <w:sz w:val="18"/>
                <w:szCs w:val="18"/>
                <w:lang w:eastAsia="en-NZ"/>
              </w:rPr>
            </w:pPr>
          </w:p>
        </w:tc>
        <w:tc>
          <w:tcPr>
            <w:tcW w:w="3307" w:type="dxa"/>
            <w:tcBorders>
              <w:left w:val="single" w:sz="4" w:space="0" w:color="000000"/>
              <w:right w:val="single" w:sz="4" w:space="0" w:color="000000"/>
            </w:tcBorders>
            <w:shd w:val="clear" w:color="auto" w:fill="auto"/>
            <w:noWrap/>
            <w:vAlign w:val="bottom"/>
            <w:hideMark/>
          </w:tcPr>
          <w:p w:rsidR="00ED105B" w:rsidRPr="009A4938" w:rsidRDefault="00ED105B" w:rsidP="00ED105B">
            <w:pPr>
              <w:spacing w:before="0" w:after="40" w:line="240" w:lineRule="auto"/>
              <w:rPr>
                <w:sz w:val="18"/>
                <w:szCs w:val="18"/>
                <w:lang w:eastAsia="en-NZ"/>
              </w:rPr>
            </w:pPr>
            <w:r w:rsidRPr="009A4938">
              <w:rPr>
                <w:sz w:val="18"/>
                <w:szCs w:val="18"/>
                <w:lang w:eastAsia="en-NZ"/>
              </w:rPr>
              <w:t>6 Alcohol, kava &amp; tobacco</w:t>
            </w:r>
          </w:p>
        </w:tc>
        <w:tc>
          <w:tcPr>
            <w:tcW w:w="0" w:type="auto"/>
            <w:tcBorders>
              <w:left w:val="nil"/>
              <w:right w:val="single" w:sz="4" w:space="0" w:color="auto"/>
            </w:tcBorders>
            <w:shd w:val="clear" w:color="auto" w:fill="auto"/>
            <w:noWrap/>
            <w:vAlign w:val="bottom"/>
            <w:hideMark/>
          </w:tcPr>
          <w:p w:rsidR="00ED105B" w:rsidRPr="009A4938" w:rsidRDefault="00ED105B" w:rsidP="00ED105B">
            <w:pPr>
              <w:spacing w:before="0" w:after="40" w:line="240" w:lineRule="auto"/>
              <w:jc w:val="right"/>
              <w:rPr>
                <w:sz w:val="18"/>
                <w:szCs w:val="18"/>
                <w:lang w:eastAsia="en-NZ"/>
              </w:rPr>
            </w:pPr>
            <w:r w:rsidRPr="009A4938">
              <w:rPr>
                <w:sz w:val="18"/>
                <w:szCs w:val="18"/>
                <w:lang w:eastAsia="en-NZ"/>
              </w:rPr>
              <w:t>177,641</w:t>
            </w:r>
          </w:p>
        </w:tc>
        <w:tc>
          <w:tcPr>
            <w:tcW w:w="868" w:type="dxa"/>
            <w:tcBorders>
              <w:left w:val="single" w:sz="4" w:space="0" w:color="auto"/>
              <w:right w:val="single" w:sz="4" w:space="0" w:color="auto"/>
            </w:tcBorders>
            <w:shd w:val="clear" w:color="000000" w:fill="FFE47F"/>
            <w:noWrap/>
            <w:vAlign w:val="bottom"/>
            <w:hideMark/>
          </w:tcPr>
          <w:p w:rsidR="00ED105B" w:rsidRPr="009A4938" w:rsidRDefault="00ED105B" w:rsidP="00ED105B">
            <w:pPr>
              <w:spacing w:before="0" w:after="40" w:line="240" w:lineRule="auto"/>
              <w:jc w:val="right"/>
              <w:rPr>
                <w:sz w:val="18"/>
                <w:szCs w:val="18"/>
                <w:lang w:eastAsia="en-NZ"/>
              </w:rPr>
            </w:pPr>
            <w:r w:rsidRPr="009A4938">
              <w:rPr>
                <w:sz w:val="18"/>
                <w:szCs w:val="18"/>
                <w:lang w:eastAsia="en-NZ"/>
              </w:rPr>
              <w:t>4.96%</w:t>
            </w:r>
          </w:p>
        </w:tc>
        <w:tc>
          <w:tcPr>
            <w:tcW w:w="1532" w:type="dxa"/>
            <w:tcBorders>
              <w:left w:val="nil"/>
              <w:right w:val="nil"/>
            </w:tcBorders>
            <w:shd w:val="clear" w:color="000000" w:fill="FFFFFF"/>
            <w:noWrap/>
            <w:vAlign w:val="bottom"/>
            <w:hideMark/>
          </w:tcPr>
          <w:p w:rsidR="00ED105B" w:rsidRPr="009A4938" w:rsidRDefault="00ED105B" w:rsidP="00ED105B">
            <w:pPr>
              <w:spacing w:before="0" w:after="40" w:line="240" w:lineRule="auto"/>
              <w:rPr>
                <w:rFonts w:ascii="Arial" w:hAnsi="Arial" w:cs="Arial"/>
                <w:sz w:val="18"/>
                <w:szCs w:val="18"/>
                <w:lang w:eastAsia="en-NZ"/>
              </w:rPr>
            </w:pPr>
            <w:r w:rsidRPr="009A4938">
              <w:rPr>
                <w:rFonts w:ascii="Arial" w:hAnsi="Arial" w:cs="Arial"/>
                <w:sz w:val="18"/>
                <w:szCs w:val="18"/>
                <w:lang w:eastAsia="en-NZ"/>
              </w:rPr>
              <w:t>||||</w:t>
            </w:r>
          </w:p>
        </w:tc>
        <w:tc>
          <w:tcPr>
            <w:tcW w:w="0" w:type="auto"/>
            <w:tcBorders>
              <w:left w:val="nil"/>
              <w:right w:val="single" w:sz="4" w:space="0" w:color="auto"/>
            </w:tcBorders>
            <w:shd w:val="clear" w:color="auto" w:fill="auto"/>
            <w:noWrap/>
            <w:vAlign w:val="bottom"/>
            <w:hideMark/>
          </w:tcPr>
          <w:p w:rsidR="00ED105B" w:rsidRPr="009A4938" w:rsidRDefault="00ED105B" w:rsidP="00ED105B">
            <w:pPr>
              <w:spacing w:before="0" w:after="40" w:line="240" w:lineRule="auto"/>
              <w:rPr>
                <w:color w:val="000000"/>
                <w:sz w:val="18"/>
                <w:szCs w:val="18"/>
                <w:lang w:eastAsia="en-NZ"/>
              </w:rPr>
            </w:pPr>
            <w:r w:rsidRPr="009A4938">
              <w:rPr>
                <w:color w:val="000000"/>
                <w:sz w:val="18"/>
                <w:szCs w:val="18"/>
                <w:lang w:eastAsia="en-NZ"/>
              </w:rPr>
              <w:t>Very good</w:t>
            </w:r>
          </w:p>
        </w:tc>
      </w:tr>
      <w:tr w:rsidR="00ED105B" w:rsidRPr="009A4938" w:rsidTr="00ED105B">
        <w:tc>
          <w:tcPr>
            <w:tcW w:w="0" w:type="auto"/>
            <w:tcBorders>
              <w:left w:val="single" w:sz="4" w:space="0" w:color="auto"/>
              <w:right w:val="single" w:sz="4" w:space="0" w:color="000000"/>
            </w:tcBorders>
            <w:shd w:val="clear" w:color="auto" w:fill="auto"/>
            <w:vAlign w:val="center"/>
            <w:hideMark/>
          </w:tcPr>
          <w:p w:rsidR="00ED105B" w:rsidRPr="009A4938" w:rsidRDefault="00ED105B" w:rsidP="00ED105B">
            <w:pPr>
              <w:spacing w:before="0" w:after="40" w:line="240" w:lineRule="auto"/>
              <w:rPr>
                <w:b/>
                <w:bCs/>
                <w:sz w:val="18"/>
                <w:szCs w:val="18"/>
                <w:lang w:eastAsia="en-NZ"/>
              </w:rPr>
            </w:pPr>
          </w:p>
        </w:tc>
        <w:tc>
          <w:tcPr>
            <w:tcW w:w="3307" w:type="dxa"/>
            <w:tcBorders>
              <w:left w:val="single" w:sz="4" w:space="0" w:color="000000"/>
              <w:right w:val="single" w:sz="4" w:space="0" w:color="000000"/>
            </w:tcBorders>
            <w:shd w:val="clear" w:color="auto" w:fill="auto"/>
            <w:noWrap/>
            <w:vAlign w:val="bottom"/>
            <w:hideMark/>
          </w:tcPr>
          <w:p w:rsidR="00ED105B" w:rsidRPr="009A4938" w:rsidRDefault="00ED105B" w:rsidP="00ED105B">
            <w:pPr>
              <w:spacing w:before="0" w:after="40" w:line="240" w:lineRule="auto"/>
              <w:rPr>
                <w:sz w:val="18"/>
                <w:szCs w:val="18"/>
                <w:lang w:eastAsia="en-NZ"/>
              </w:rPr>
            </w:pPr>
            <w:r w:rsidRPr="009A4938">
              <w:rPr>
                <w:sz w:val="18"/>
                <w:szCs w:val="18"/>
                <w:lang w:eastAsia="en-NZ"/>
              </w:rPr>
              <w:t>7 Miscellaneous</w:t>
            </w:r>
          </w:p>
        </w:tc>
        <w:tc>
          <w:tcPr>
            <w:tcW w:w="0" w:type="auto"/>
            <w:tcBorders>
              <w:left w:val="nil"/>
              <w:right w:val="single" w:sz="4" w:space="0" w:color="auto"/>
            </w:tcBorders>
            <w:shd w:val="clear" w:color="auto" w:fill="auto"/>
            <w:noWrap/>
            <w:vAlign w:val="bottom"/>
            <w:hideMark/>
          </w:tcPr>
          <w:p w:rsidR="00ED105B" w:rsidRPr="009A4938" w:rsidRDefault="00ED105B" w:rsidP="00ED105B">
            <w:pPr>
              <w:spacing w:before="0" w:after="40" w:line="240" w:lineRule="auto"/>
              <w:jc w:val="right"/>
              <w:rPr>
                <w:sz w:val="18"/>
                <w:szCs w:val="18"/>
                <w:lang w:eastAsia="en-NZ"/>
              </w:rPr>
            </w:pPr>
            <w:r w:rsidRPr="009A4938">
              <w:rPr>
                <w:sz w:val="18"/>
                <w:szCs w:val="18"/>
                <w:lang w:eastAsia="en-NZ"/>
              </w:rPr>
              <w:t>222,257</w:t>
            </w:r>
          </w:p>
        </w:tc>
        <w:tc>
          <w:tcPr>
            <w:tcW w:w="868" w:type="dxa"/>
            <w:tcBorders>
              <w:left w:val="single" w:sz="4" w:space="0" w:color="auto"/>
              <w:right w:val="single" w:sz="4" w:space="0" w:color="auto"/>
            </w:tcBorders>
            <w:shd w:val="clear" w:color="000000" w:fill="FFE37E"/>
            <w:noWrap/>
            <w:vAlign w:val="bottom"/>
            <w:hideMark/>
          </w:tcPr>
          <w:p w:rsidR="00ED105B" w:rsidRPr="009A4938" w:rsidRDefault="00ED105B" w:rsidP="00ED105B">
            <w:pPr>
              <w:spacing w:before="0" w:after="40" w:line="240" w:lineRule="auto"/>
              <w:jc w:val="right"/>
              <w:rPr>
                <w:sz w:val="18"/>
                <w:szCs w:val="18"/>
                <w:lang w:eastAsia="en-NZ"/>
              </w:rPr>
            </w:pPr>
            <w:r w:rsidRPr="009A4938">
              <w:rPr>
                <w:sz w:val="18"/>
                <w:szCs w:val="18"/>
                <w:lang w:eastAsia="en-NZ"/>
              </w:rPr>
              <w:t>5.19%</w:t>
            </w:r>
          </w:p>
        </w:tc>
        <w:tc>
          <w:tcPr>
            <w:tcW w:w="1532" w:type="dxa"/>
            <w:tcBorders>
              <w:left w:val="nil"/>
              <w:right w:val="nil"/>
            </w:tcBorders>
            <w:shd w:val="clear" w:color="000000" w:fill="FFFFFF"/>
            <w:noWrap/>
            <w:vAlign w:val="bottom"/>
            <w:hideMark/>
          </w:tcPr>
          <w:p w:rsidR="00ED105B" w:rsidRPr="009A4938" w:rsidRDefault="00ED105B" w:rsidP="00ED105B">
            <w:pPr>
              <w:spacing w:before="0" w:after="40" w:line="240" w:lineRule="auto"/>
              <w:rPr>
                <w:rFonts w:ascii="Arial" w:hAnsi="Arial" w:cs="Arial"/>
                <w:sz w:val="18"/>
                <w:szCs w:val="18"/>
                <w:lang w:eastAsia="en-NZ"/>
              </w:rPr>
            </w:pPr>
            <w:r w:rsidRPr="009A4938">
              <w:rPr>
                <w:rFonts w:ascii="Arial" w:hAnsi="Arial" w:cs="Arial"/>
                <w:sz w:val="18"/>
                <w:szCs w:val="18"/>
                <w:lang w:eastAsia="en-NZ"/>
              </w:rPr>
              <w:t>|||||</w:t>
            </w:r>
          </w:p>
        </w:tc>
        <w:tc>
          <w:tcPr>
            <w:tcW w:w="0" w:type="auto"/>
            <w:tcBorders>
              <w:left w:val="nil"/>
              <w:right w:val="single" w:sz="4" w:space="0" w:color="auto"/>
            </w:tcBorders>
            <w:shd w:val="clear" w:color="auto" w:fill="auto"/>
            <w:noWrap/>
            <w:vAlign w:val="bottom"/>
            <w:hideMark/>
          </w:tcPr>
          <w:p w:rsidR="00ED105B" w:rsidRPr="009A4938" w:rsidRDefault="00ED105B" w:rsidP="00ED105B">
            <w:pPr>
              <w:spacing w:before="0" w:after="40" w:line="240" w:lineRule="auto"/>
              <w:rPr>
                <w:color w:val="000000"/>
                <w:sz w:val="18"/>
                <w:szCs w:val="18"/>
                <w:lang w:eastAsia="en-NZ"/>
              </w:rPr>
            </w:pPr>
            <w:r w:rsidRPr="009A4938">
              <w:rPr>
                <w:color w:val="000000"/>
                <w:sz w:val="18"/>
                <w:szCs w:val="18"/>
                <w:lang w:eastAsia="en-NZ"/>
              </w:rPr>
              <w:t>Very good</w:t>
            </w:r>
          </w:p>
        </w:tc>
      </w:tr>
      <w:tr w:rsidR="00ED105B" w:rsidRPr="009A4938" w:rsidTr="00ED105B">
        <w:tc>
          <w:tcPr>
            <w:tcW w:w="0" w:type="auto"/>
            <w:tcBorders>
              <w:left w:val="single" w:sz="4" w:space="0" w:color="auto"/>
              <w:right w:val="single" w:sz="4" w:space="0" w:color="000000"/>
            </w:tcBorders>
            <w:shd w:val="clear" w:color="auto" w:fill="auto"/>
            <w:vAlign w:val="center"/>
            <w:hideMark/>
          </w:tcPr>
          <w:p w:rsidR="00ED105B" w:rsidRPr="009A4938" w:rsidRDefault="00ED105B" w:rsidP="00ED105B">
            <w:pPr>
              <w:spacing w:before="0" w:after="40" w:line="240" w:lineRule="auto"/>
              <w:rPr>
                <w:b/>
                <w:bCs/>
                <w:sz w:val="18"/>
                <w:szCs w:val="18"/>
                <w:lang w:eastAsia="en-NZ"/>
              </w:rPr>
            </w:pPr>
          </w:p>
        </w:tc>
        <w:tc>
          <w:tcPr>
            <w:tcW w:w="3307" w:type="dxa"/>
            <w:tcBorders>
              <w:left w:val="single" w:sz="4" w:space="0" w:color="000000"/>
              <w:right w:val="single" w:sz="4" w:space="0" w:color="000000"/>
            </w:tcBorders>
            <w:shd w:val="clear" w:color="auto" w:fill="auto"/>
            <w:noWrap/>
            <w:vAlign w:val="bottom"/>
            <w:hideMark/>
          </w:tcPr>
          <w:p w:rsidR="00ED105B" w:rsidRPr="009A4938" w:rsidRDefault="00ED105B" w:rsidP="00ED105B">
            <w:pPr>
              <w:spacing w:before="0" w:after="40" w:line="240" w:lineRule="auto"/>
              <w:rPr>
                <w:sz w:val="18"/>
                <w:szCs w:val="18"/>
                <w:lang w:eastAsia="en-NZ"/>
              </w:rPr>
            </w:pPr>
            <w:proofErr w:type="spellStart"/>
            <w:r w:rsidRPr="009A4938">
              <w:rPr>
                <w:sz w:val="18"/>
                <w:szCs w:val="18"/>
                <w:lang w:eastAsia="en-NZ"/>
              </w:rPr>
              <w:t>8a</w:t>
            </w:r>
            <w:proofErr w:type="spellEnd"/>
            <w:r w:rsidRPr="009A4938">
              <w:rPr>
                <w:sz w:val="18"/>
                <w:szCs w:val="18"/>
                <w:lang w:eastAsia="en-NZ"/>
              </w:rPr>
              <w:t>: Non-consumption expenditure</w:t>
            </w:r>
          </w:p>
        </w:tc>
        <w:tc>
          <w:tcPr>
            <w:tcW w:w="0" w:type="auto"/>
            <w:tcBorders>
              <w:left w:val="nil"/>
              <w:right w:val="single" w:sz="4" w:space="0" w:color="auto"/>
            </w:tcBorders>
            <w:shd w:val="clear" w:color="auto" w:fill="auto"/>
            <w:noWrap/>
            <w:vAlign w:val="bottom"/>
            <w:hideMark/>
          </w:tcPr>
          <w:p w:rsidR="00ED105B" w:rsidRPr="009A4938" w:rsidRDefault="00ED105B" w:rsidP="00ED105B">
            <w:pPr>
              <w:spacing w:before="0" w:after="40" w:line="240" w:lineRule="auto"/>
              <w:jc w:val="right"/>
              <w:rPr>
                <w:sz w:val="18"/>
                <w:szCs w:val="18"/>
                <w:lang w:eastAsia="en-NZ"/>
              </w:rPr>
            </w:pPr>
            <w:r w:rsidRPr="009A4938">
              <w:rPr>
                <w:sz w:val="18"/>
                <w:szCs w:val="18"/>
                <w:lang w:eastAsia="en-NZ"/>
              </w:rPr>
              <w:t>249,675</w:t>
            </w:r>
          </w:p>
        </w:tc>
        <w:tc>
          <w:tcPr>
            <w:tcW w:w="868" w:type="dxa"/>
            <w:tcBorders>
              <w:left w:val="single" w:sz="4" w:space="0" w:color="auto"/>
              <w:right w:val="single" w:sz="4" w:space="0" w:color="auto"/>
            </w:tcBorders>
            <w:shd w:val="clear" w:color="000000" w:fill="FFE27D"/>
            <w:noWrap/>
            <w:vAlign w:val="bottom"/>
            <w:hideMark/>
          </w:tcPr>
          <w:p w:rsidR="00ED105B" w:rsidRPr="009A4938" w:rsidRDefault="00ED105B" w:rsidP="00ED105B">
            <w:pPr>
              <w:spacing w:before="0" w:after="40" w:line="240" w:lineRule="auto"/>
              <w:jc w:val="right"/>
              <w:rPr>
                <w:sz w:val="18"/>
                <w:szCs w:val="18"/>
                <w:lang w:eastAsia="en-NZ"/>
              </w:rPr>
            </w:pPr>
            <w:r w:rsidRPr="009A4938">
              <w:rPr>
                <w:sz w:val="18"/>
                <w:szCs w:val="18"/>
                <w:lang w:eastAsia="en-NZ"/>
              </w:rPr>
              <w:t>5.43%</w:t>
            </w:r>
          </w:p>
        </w:tc>
        <w:tc>
          <w:tcPr>
            <w:tcW w:w="1532" w:type="dxa"/>
            <w:tcBorders>
              <w:left w:val="nil"/>
              <w:right w:val="nil"/>
            </w:tcBorders>
            <w:shd w:val="clear" w:color="000000" w:fill="FFFFFF"/>
            <w:noWrap/>
            <w:vAlign w:val="bottom"/>
            <w:hideMark/>
          </w:tcPr>
          <w:p w:rsidR="00ED105B" w:rsidRPr="009A4938" w:rsidRDefault="00ED105B" w:rsidP="00ED105B">
            <w:pPr>
              <w:spacing w:before="0" w:after="40" w:line="240" w:lineRule="auto"/>
              <w:rPr>
                <w:rFonts w:ascii="Arial" w:hAnsi="Arial" w:cs="Arial"/>
                <w:sz w:val="18"/>
                <w:szCs w:val="18"/>
                <w:lang w:eastAsia="en-NZ"/>
              </w:rPr>
            </w:pPr>
            <w:r w:rsidRPr="009A4938">
              <w:rPr>
                <w:rFonts w:ascii="Arial" w:hAnsi="Arial" w:cs="Arial"/>
                <w:sz w:val="18"/>
                <w:szCs w:val="18"/>
                <w:lang w:eastAsia="en-NZ"/>
              </w:rPr>
              <w:t>|||||</w:t>
            </w:r>
          </w:p>
        </w:tc>
        <w:tc>
          <w:tcPr>
            <w:tcW w:w="0" w:type="auto"/>
            <w:tcBorders>
              <w:left w:val="nil"/>
              <w:right w:val="single" w:sz="4" w:space="0" w:color="auto"/>
            </w:tcBorders>
            <w:shd w:val="clear" w:color="auto" w:fill="auto"/>
            <w:noWrap/>
            <w:vAlign w:val="bottom"/>
            <w:hideMark/>
          </w:tcPr>
          <w:p w:rsidR="00ED105B" w:rsidRPr="009A4938" w:rsidRDefault="00ED105B" w:rsidP="00ED105B">
            <w:pPr>
              <w:spacing w:before="0" w:after="40" w:line="240" w:lineRule="auto"/>
              <w:rPr>
                <w:color w:val="000000"/>
                <w:sz w:val="18"/>
                <w:szCs w:val="18"/>
                <w:lang w:eastAsia="en-NZ"/>
              </w:rPr>
            </w:pPr>
            <w:r w:rsidRPr="009A4938">
              <w:rPr>
                <w:color w:val="000000"/>
                <w:sz w:val="18"/>
                <w:szCs w:val="18"/>
                <w:lang w:eastAsia="en-NZ"/>
              </w:rPr>
              <w:t>Very good</w:t>
            </w:r>
          </w:p>
        </w:tc>
      </w:tr>
      <w:tr w:rsidR="00ED105B" w:rsidRPr="009A4938" w:rsidTr="00ED105B">
        <w:tc>
          <w:tcPr>
            <w:tcW w:w="0" w:type="auto"/>
            <w:tcBorders>
              <w:left w:val="single" w:sz="4" w:space="0" w:color="auto"/>
              <w:bottom w:val="single" w:sz="4" w:space="0" w:color="000000"/>
              <w:right w:val="single" w:sz="4" w:space="0" w:color="000000"/>
            </w:tcBorders>
            <w:shd w:val="clear" w:color="auto" w:fill="auto"/>
            <w:vAlign w:val="center"/>
            <w:hideMark/>
          </w:tcPr>
          <w:p w:rsidR="00ED105B" w:rsidRPr="009A4938" w:rsidRDefault="00ED105B" w:rsidP="00ED105B">
            <w:pPr>
              <w:spacing w:before="0" w:after="40" w:line="240" w:lineRule="auto"/>
              <w:rPr>
                <w:b/>
                <w:bCs/>
                <w:sz w:val="18"/>
                <w:szCs w:val="18"/>
                <w:lang w:eastAsia="en-NZ"/>
              </w:rPr>
            </w:pPr>
          </w:p>
        </w:tc>
        <w:tc>
          <w:tcPr>
            <w:tcW w:w="3307" w:type="dxa"/>
            <w:tcBorders>
              <w:left w:val="single" w:sz="4" w:space="0" w:color="000000"/>
              <w:bottom w:val="single" w:sz="4" w:space="0" w:color="auto"/>
              <w:right w:val="single" w:sz="4" w:space="0" w:color="000000"/>
            </w:tcBorders>
            <w:shd w:val="clear" w:color="auto" w:fill="auto"/>
            <w:noWrap/>
            <w:vAlign w:val="bottom"/>
            <w:hideMark/>
          </w:tcPr>
          <w:p w:rsidR="00ED105B" w:rsidRPr="009A4938" w:rsidRDefault="00ED105B" w:rsidP="00ED105B">
            <w:pPr>
              <w:spacing w:before="0" w:after="40" w:line="240" w:lineRule="auto"/>
              <w:rPr>
                <w:sz w:val="18"/>
                <w:szCs w:val="18"/>
                <w:lang w:eastAsia="en-NZ"/>
              </w:rPr>
            </w:pPr>
            <w:proofErr w:type="spellStart"/>
            <w:r w:rsidRPr="009A4938">
              <w:rPr>
                <w:sz w:val="18"/>
                <w:szCs w:val="18"/>
                <w:lang w:eastAsia="en-NZ"/>
              </w:rPr>
              <w:t>9a</w:t>
            </w:r>
            <w:proofErr w:type="spellEnd"/>
            <w:r w:rsidRPr="009A4938">
              <w:rPr>
                <w:sz w:val="18"/>
                <w:szCs w:val="18"/>
                <w:lang w:eastAsia="en-NZ"/>
              </w:rPr>
              <w:t>: Gifts received (including remittances)</w:t>
            </w:r>
          </w:p>
        </w:tc>
        <w:tc>
          <w:tcPr>
            <w:tcW w:w="0" w:type="auto"/>
            <w:tcBorders>
              <w:left w:val="nil"/>
              <w:bottom w:val="single" w:sz="4" w:space="0" w:color="auto"/>
              <w:right w:val="single" w:sz="4" w:space="0" w:color="auto"/>
            </w:tcBorders>
            <w:shd w:val="clear" w:color="auto" w:fill="auto"/>
            <w:noWrap/>
            <w:vAlign w:val="bottom"/>
            <w:hideMark/>
          </w:tcPr>
          <w:p w:rsidR="00ED105B" w:rsidRPr="009A4938" w:rsidRDefault="00ED105B" w:rsidP="00ED105B">
            <w:pPr>
              <w:spacing w:before="0" w:after="40" w:line="240" w:lineRule="auto"/>
              <w:jc w:val="right"/>
              <w:rPr>
                <w:sz w:val="18"/>
                <w:szCs w:val="18"/>
                <w:lang w:eastAsia="en-NZ"/>
              </w:rPr>
            </w:pPr>
            <w:r w:rsidRPr="009A4938">
              <w:rPr>
                <w:sz w:val="18"/>
                <w:szCs w:val="18"/>
                <w:lang w:eastAsia="en-NZ"/>
              </w:rPr>
              <w:t>40,604</w:t>
            </w:r>
          </w:p>
        </w:tc>
        <w:tc>
          <w:tcPr>
            <w:tcW w:w="868" w:type="dxa"/>
            <w:tcBorders>
              <w:left w:val="single" w:sz="4" w:space="0" w:color="auto"/>
              <w:bottom w:val="single" w:sz="4" w:space="0" w:color="auto"/>
              <w:right w:val="single" w:sz="4" w:space="0" w:color="auto"/>
            </w:tcBorders>
            <w:shd w:val="clear" w:color="000000" w:fill="FFB55B"/>
            <w:noWrap/>
            <w:vAlign w:val="bottom"/>
            <w:hideMark/>
          </w:tcPr>
          <w:p w:rsidR="00ED105B" w:rsidRPr="009A4938" w:rsidRDefault="00ED105B" w:rsidP="00ED105B">
            <w:pPr>
              <w:spacing w:before="0" w:after="40" w:line="240" w:lineRule="auto"/>
              <w:jc w:val="right"/>
              <w:rPr>
                <w:sz w:val="18"/>
                <w:szCs w:val="18"/>
                <w:lang w:eastAsia="en-NZ"/>
              </w:rPr>
            </w:pPr>
            <w:r w:rsidRPr="009A4938">
              <w:rPr>
                <w:sz w:val="18"/>
                <w:szCs w:val="18"/>
                <w:lang w:eastAsia="en-NZ"/>
              </w:rPr>
              <w:t>13.42%</w:t>
            </w:r>
          </w:p>
        </w:tc>
        <w:tc>
          <w:tcPr>
            <w:tcW w:w="1532" w:type="dxa"/>
            <w:tcBorders>
              <w:left w:val="nil"/>
              <w:bottom w:val="single" w:sz="4" w:space="0" w:color="auto"/>
              <w:right w:val="nil"/>
            </w:tcBorders>
            <w:shd w:val="clear" w:color="000000" w:fill="FFFFFF"/>
            <w:noWrap/>
            <w:vAlign w:val="bottom"/>
            <w:hideMark/>
          </w:tcPr>
          <w:p w:rsidR="00ED105B" w:rsidRPr="009A4938" w:rsidRDefault="00ED105B" w:rsidP="00ED105B">
            <w:pPr>
              <w:spacing w:before="0" w:after="40" w:line="240" w:lineRule="auto"/>
              <w:rPr>
                <w:rFonts w:ascii="Arial" w:hAnsi="Arial" w:cs="Arial"/>
                <w:sz w:val="18"/>
                <w:szCs w:val="18"/>
                <w:lang w:eastAsia="en-NZ"/>
              </w:rPr>
            </w:pPr>
            <w:r w:rsidRPr="009A4938">
              <w:rPr>
                <w:rFonts w:ascii="Arial" w:hAnsi="Arial" w:cs="Arial"/>
                <w:sz w:val="18"/>
                <w:szCs w:val="18"/>
                <w:lang w:eastAsia="en-NZ"/>
              </w:rPr>
              <w:t>|||||||||||||</w:t>
            </w:r>
          </w:p>
        </w:tc>
        <w:tc>
          <w:tcPr>
            <w:tcW w:w="0" w:type="auto"/>
            <w:tcBorders>
              <w:left w:val="nil"/>
              <w:bottom w:val="single" w:sz="4" w:space="0" w:color="auto"/>
              <w:right w:val="single" w:sz="4" w:space="0" w:color="auto"/>
            </w:tcBorders>
            <w:shd w:val="clear" w:color="auto" w:fill="auto"/>
            <w:noWrap/>
            <w:vAlign w:val="bottom"/>
            <w:hideMark/>
          </w:tcPr>
          <w:p w:rsidR="00ED105B" w:rsidRPr="009A4938" w:rsidRDefault="00ED105B" w:rsidP="00ED105B">
            <w:pPr>
              <w:spacing w:before="0" w:after="40" w:line="240" w:lineRule="auto"/>
              <w:rPr>
                <w:color w:val="000000"/>
                <w:sz w:val="18"/>
                <w:szCs w:val="18"/>
                <w:lang w:eastAsia="en-NZ"/>
              </w:rPr>
            </w:pPr>
            <w:r w:rsidRPr="009A4938">
              <w:rPr>
                <w:color w:val="000000"/>
                <w:sz w:val="18"/>
                <w:szCs w:val="18"/>
                <w:lang w:eastAsia="en-NZ"/>
              </w:rPr>
              <w:t>Usable</w:t>
            </w:r>
          </w:p>
        </w:tc>
      </w:tr>
      <w:tr w:rsidR="00ED105B" w:rsidRPr="009A4938" w:rsidTr="00ED105B">
        <w:tc>
          <w:tcPr>
            <w:tcW w:w="0" w:type="auto"/>
            <w:tcBorders>
              <w:left w:val="single" w:sz="4" w:space="0" w:color="auto"/>
              <w:right w:val="single" w:sz="4" w:space="0" w:color="000000"/>
            </w:tcBorders>
            <w:shd w:val="clear" w:color="auto" w:fill="auto"/>
            <w:vAlign w:val="center"/>
            <w:hideMark/>
          </w:tcPr>
          <w:p w:rsidR="00ED105B" w:rsidRPr="009A4938" w:rsidRDefault="00ED105B" w:rsidP="00ED105B">
            <w:pPr>
              <w:spacing w:before="0" w:after="40" w:line="240" w:lineRule="auto"/>
              <w:rPr>
                <w:b/>
                <w:bCs/>
                <w:sz w:val="18"/>
                <w:szCs w:val="18"/>
                <w:lang w:eastAsia="en-NZ"/>
              </w:rPr>
            </w:pPr>
            <w:r w:rsidRPr="009A4938">
              <w:rPr>
                <w:b/>
                <w:bCs/>
                <w:sz w:val="18"/>
                <w:szCs w:val="18"/>
                <w:lang w:eastAsia="en-NZ"/>
              </w:rPr>
              <w:t>Rural</w:t>
            </w:r>
          </w:p>
        </w:tc>
        <w:tc>
          <w:tcPr>
            <w:tcW w:w="3307" w:type="dxa"/>
            <w:tcBorders>
              <w:left w:val="single" w:sz="4" w:space="0" w:color="000000"/>
              <w:right w:val="single" w:sz="4" w:space="0" w:color="000000"/>
            </w:tcBorders>
            <w:shd w:val="clear" w:color="auto" w:fill="auto"/>
            <w:noWrap/>
            <w:vAlign w:val="bottom"/>
            <w:hideMark/>
          </w:tcPr>
          <w:p w:rsidR="00ED105B" w:rsidRPr="00ED105B" w:rsidRDefault="00ED105B" w:rsidP="00ED105B">
            <w:pPr>
              <w:spacing w:before="0" w:after="40" w:line="240" w:lineRule="auto"/>
              <w:rPr>
                <w:sz w:val="18"/>
                <w:szCs w:val="18"/>
                <w:lang w:eastAsia="en-NZ"/>
              </w:rPr>
            </w:pPr>
            <w:r w:rsidRPr="00ED105B">
              <w:rPr>
                <w:sz w:val="18"/>
                <w:szCs w:val="18"/>
                <w:lang w:eastAsia="en-NZ"/>
              </w:rPr>
              <w:t>Total Household Expenditure</w:t>
            </w:r>
          </w:p>
        </w:tc>
        <w:tc>
          <w:tcPr>
            <w:tcW w:w="0" w:type="auto"/>
            <w:tcBorders>
              <w:left w:val="nil"/>
              <w:right w:val="single" w:sz="4" w:space="0" w:color="auto"/>
            </w:tcBorders>
            <w:shd w:val="clear" w:color="auto" w:fill="auto"/>
            <w:noWrap/>
            <w:vAlign w:val="bottom"/>
            <w:hideMark/>
          </w:tcPr>
          <w:p w:rsidR="00ED105B" w:rsidRPr="00ED105B" w:rsidRDefault="00ED105B" w:rsidP="00ED105B">
            <w:pPr>
              <w:spacing w:before="0" w:after="40" w:line="240" w:lineRule="auto"/>
              <w:jc w:val="right"/>
              <w:rPr>
                <w:sz w:val="18"/>
                <w:szCs w:val="18"/>
                <w:lang w:eastAsia="en-NZ"/>
              </w:rPr>
            </w:pPr>
            <w:r w:rsidRPr="00ED105B">
              <w:rPr>
                <w:sz w:val="18"/>
                <w:szCs w:val="18"/>
                <w:lang w:eastAsia="en-NZ"/>
              </w:rPr>
              <w:t>2,623,186</w:t>
            </w:r>
          </w:p>
        </w:tc>
        <w:tc>
          <w:tcPr>
            <w:tcW w:w="868" w:type="dxa"/>
            <w:tcBorders>
              <w:left w:val="single" w:sz="4" w:space="0" w:color="auto"/>
              <w:right w:val="single" w:sz="4" w:space="0" w:color="auto"/>
            </w:tcBorders>
            <w:shd w:val="clear" w:color="000000" w:fill="FFB55B"/>
            <w:noWrap/>
            <w:vAlign w:val="bottom"/>
            <w:hideMark/>
          </w:tcPr>
          <w:p w:rsidR="00ED105B" w:rsidRPr="00ED105B" w:rsidRDefault="00ED105B" w:rsidP="00ED105B">
            <w:pPr>
              <w:spacing w:before="0" w:after="40" w:line="240" w:lineRule="auto"/>
              <w:jc w:val="right"/>
              <w:rPr>
                <w:sz w:val="18"/>
                <w:szCs w:val="18"/>
                <w:lang w:eastAsia="en-NZ"/>
              </w:rPr>
            </w:pPr>
            <w:r w:rsidRPr="00ED105B">
              <w:rPr>
                <w:sz w:val="18"/>
                <w:szCs w:val="18"/>
                <w:lang w:eastAsia="en-NZ"/>
              </w:rPr>
              <w:t>3.34%</w:t>
            </w:r>
          </w:p>
        </w:tc>
        <w:tc>
          <w:tcPr>
            <w:tcW w:w="1532" w:type="dxa"/>
            <w:tcBorders>
              <w:left w:val="nil"/>
              <w:right w:val="nil"/>
            </w:tcBorders>
            <w:shd w:val="clear" w:color="000000" w:fill="FFFFFF"/>
            <w:noWrap/>
            <w:vAlign w:val="bottom"/>
            <w:hideMark/>
          </w:tcPr>
          <w:p w:rsidR="00ED105B" w:rsidRPr="009A4938" w:rsidRDefault="00ED105B" w:rsidP="00ED105B">
            <w:pPr>
              <w:spacing w:before="0" w:after="40" w:line="240" w:lineRule="auto"/>
              <w:rPr>
                <w:rFonts w:ascii="Arial" w:hAnsi="Arial" w:cs="Arial"/>
                <w:sz w:val="18"/>
                <w:szCs w:val="18"/>
                <w:lang w:eastAsia="en-NZ"/>
              </w:rPr>
            </w:pPr>
            <w:r w:rsidRPr="009A4938">
              <w:rPr>
                <w:rFonts w:ascii="Arial" w:hAnsi="Arial" w:cs="Arial"/>
                <w:sz w:val="18"/>
                <w:szCs w:val="18"/>
                <w:lang w:eastAsia="en-NZ"/>
              </w:rPr>
              <w:t>|||</w:t>
            </w:r>
          </w:p>
        </w:tc>
        <w:tc>
          <w:tcPr>
            <w:tcW w:w="0" w:type="auto"/>
            <w:tcBorders>
              <w:left w:val="nil"/>
              <w:right w:val="single" w:sz="4" w:space="0" w:color="auto"/>
            </w:tcBorders>
            <w:shd w:val="clear" w:color="auto" w:fill="auto"/>
            <w:noWrap/>
            <w:vAlign w:val="bottom"/>
            <w:hideMark/>
          </w:tcPr>
          <w:p w:rsidR="00ED105B" w:rsidRPr="009A4938" w:rsidRDefault="00ED105B" w:rsidP="00ED105B">
            <w:pPr>
              <w:spacing w:before="0" w:after="40" w:line="240" w:lineRule="auto"/>
              <w:rPr>
                <w:color w:val="000000"/>
                <w:sz w:val="18"/>
                <w:szCs w:val="18"/>
                <w:lang w:eastAsia="en-NZ"/>
              </w:rPr>
            </w:pPr>
            <w:r w:rsidRPr="009A4938">
              <w:rPr>
                <w:color w:val="000000"/>
                <w:sz w:val="18"/>
                <w:szCs w:val="18"/>
                <w:lang w:eastAsia="en-NZ"/>
              </w:rPr>
              <w:t>Very good</w:t>
            </w:r>
          </w:p>
        </w:tc>
      </w:tr>
      <w:tr w:rsidR="00ED105B" w:rsidRPr="009A4938" w:rsidTr="00ED105B">
        <w:tc>
          <w:tcPr>
            <w:tcW w:w="0" w:type="auto"/>
            <w:tcBorders>
              <w:left w:val="single" w:sz="4" w:space="0" w:color="auto"/>
              <w:right w:val="single" w:sz="4" w:space="0" w:color="000000"/>
            </w:tcBorders>
            <w:shd w:val="clear" w:color="auto" w:fill="auto"/>
            <w:vAlign w:val="center"/>
            <w:hideMark/>
          </w:tcPr>
          <w:p w:rsidR="00ED105B" w:rsidRPr="009A4938" w:rsidRDefault="00ED105B" w:rsidP="00ED105B">
            <w:pPr>
              <w:spacing w:before="0" w:after="40" w:line="240" w:lineRule="auto"/>
              <w:rPr>
                <w:b/>
                <w:bCs/>
                <w:sz w:val="18"/>
                <w:szCs w:val="18"/>
                <w:lang w:eastAsia="en-NZ"/>
              </w:rPr>
            </w:pPr>
          </w:p>
        </w:tc>
        <w:tc>
          <w:tcPr>
            <w:tcW w:w="3307" w:type="dxa"/>
            <w:tcBorders>
              <w:left w:val="single" w:sz="4" w:space="0" w:color="000000"/>
              <w:right w:val="single" w:sz="4" w:space="0" w:color="000000"/>
            </w:tcBorders>
            <w:shd w:val="clear" w:color="auto" w:fill="auto"/>
            <w:noWrap/>
            <w:vAlign w:val="bottom"/>
            <w:hideMark/>
          </w:tcPr>
          <w:p w:rsidR="00ED105B" w:rsidRPr="009A4938" w:rsidRDefault="00ED105B" w:rsidP="00ED105B">
            <w:pPr>
              <w:spacing w:before="0" w:after="40" w:line="240" w:lineRule="auto"/>
              <w:rPr>
                <w:sz w:val="18"/>
                <w:szCs w:val="18"/>
                <w:lang w:eastAsia="en-NZ"/>
              </w:rPr>
            </w:pPr>
            <w:r w:rsidRPr="009A4938">
              <w:rPr>
                <w:sz w:val="18"/>
                <w:szCs w:val="18"/>
                <w:lang w:eastAsia="en-NZ"/>
              </w:rPr>
              <w:t>1 Household Food</w:t>
            </w:r>
          </w:p>
        </w:tc>
        <w:tc>
          <w:tcPr>
            <w:tcW w:w="0" w:type="auto"/>
            <w:tcBorders>
              <w:left w:val="nil"/>
              <w:right w:val="single" w:sz="4" w:space="0" w:color="auto"/>
            </w:tcBorders>
            <w:shd w:val="clear" w:color="auto" w:fill="auto"/>
            <w:noWrap/>
            <w:vAlign w:val="bottom"/>
            <w:hideMark/>
          </w:tcPr>
          <w:p w:rsidR="00ED105B" w:rsidRPr="009A4938" w:rsidRDefault="00ED105B" w:rsidP="00ED105B">
            <w:pPr>
              <w:spacing w:before="0" w:after="40" w:line="240" w:lineRule="auto"/>
              <w:jc w:val="right"/>
              <w:rPr>
                <w:sz w:val="18"/>
                <w:szCs w:val="18"/>
                <w:lang w:eastAsia="en-NZ"/>
              </w:rPr>
            </w:pPr>
            <w:r w:rsidRPr="009A4938">
              <w:rPr>
                <w:sz w:val="18"/>
                <w:szCs w:val="18"/>
                <w:lang w:eastAsia="en-NZ"/>
              </w:rPr>
              <w:t>1,646,761</w:t>
            </w:r>
          </w:p>
        </w:tc>
        <w:tc>
          <w:tcPr>
            <w:tcW w:w="868" w:type="dxa"/>
            <w:tcBorders>
              <w:left w:val="single" w:sz="4" w:space="0" w:color="auto"/>
              <w:right w:val="single" w:sz="4" w:space="0" w:color="auto"/>
            </w:tcBorders>
            <w:shd w:val="clear" w:color="000000" w:fill="FFB55B"/>
            <w:noWrap/>
            <w:vAlign w:val="bottom"/>
            <w:hideMark/>
          </w:tcPr>
          <w:p w:rsidR="00ED105B" w:rsidRPr="009A4938" w:rsidRDefault="00ED105B" w:rsidP="00ED105B">
            <w:pPr>
              <w:spacing w:before="0" w:after="40" w:line="240" w:lineRule="auto"/>
              <w:jc w:val="right"/>
              <w:rPr>
                <w:sz w:val="18"/>
                <w:szCs w:val="18"/>
                <w:lang w:eastAsia="en-NZ"/>
              </w:rPr>
            </w:pPr>
            <w:r w:rsidRPr="009A4938">
              <w:rPr>
                <w:sz w:val="18"/>
                <w:szCs w:val="18"/>
                <w:lang w:eastAsia="en-NZ"/>
              </w:rPr>
              <w:t>2.98%</w:t>
            </w:r>
          </w:p>
        </w:tc>
        <w:tc>
          <w:tcPr>
            <w:tcW w:w="1532" w:type="dxa"/>
            <w:tcBorders>
              <w:left w:val="nil"/>
              <w:right w:val="nil"/>
            </w:tcBorders>
            <w:shd w:val="clear" w:color="000000" w:fill="FFFFFF"/>
            <w:noWrap/>
            <w:vAlign w:val="bottom"/>
            <w:hideMark/>
          </w:tcPr>
          <w:p w:rsidR="00ED105B" w:rsidRPr="009A4938" w:rsidRDefault="00ED105B" w:rsidP="00ED105B">
            <w:pPr>
              <w:spacing w:before="0" w:after="40" w:line="240" w:lineRule="auto"/>
              <w:rPr>
                <w:rFonts w:ascii="Arial" w:hAnsi="Arial" w:cs="Arial"/>
                <w:sz w:val="18"/>
                <w:szCs w:val="18"/>
                <w:lang w:eastAsia="en-NZ"/>
              </w:rPr>
            </w:pPr>
            <w:r w:rsidRPr="009A4938">
              <w:rPr>
                <w:rFonts w:ascii="Arial" w:hAnsi="Arial" w:cs="Arial"/>
                <w:sz w:val="18"/>
                <w:szCs w:val="18"/>
                <w:lang w:eastAsia="en-NZ"/>
              </w:rPr>
              <w:t>||</w:t>
            </w:r>
          </w:p>
        </w:tc>
        <w:tc>
          <w:tcPr>
            <w:tcW w:w="0" w:type="auto"/>
            <w:tcBorders>
              <w:left w:val="nil"/>
              <w:right w:val="single" w:sz="4" w:space="0" w:color="auto"/>
            </w:tcBorders>
            <w:shd w:val="clear" w:color="auto" w:fill="auto"/>
            <w:noWrap/>
            <w:vAlign w:val="bottom"/>
            <w:hideMark/>
          </w:tcPr>
          <w:p w:rsidR="00ED105B" w:rsidRPr="009A4938" w:rsidRDefault="00ED105B" w:rsidP="00ED105B">
            <w:pPr>
              <w:spacing w:before="0" w:after="40" w:line="240" w:lineRule="auto"/>
              <w:rPr>
                <w:color w:val="000000"/>
                <w:sz w:val="18"/>
                <w:szCs w:val="18"/>
                <w:lang w:eastAsia="en-NZ"/>
              </w:rPr>
            </w:pPr>
            <w:r w:rsidRPr="009A4938">
              <w:rPr>
                <w:color w:val="000000"/>
                <w:sz w:val="18"/>
                <w:szCs w:val="18"/>
                <w:lang w:eastAsia="en-NZ"/>
              </w:rPr>
              <w:t>Very good</w:t>
            </w:r>
          </w:p>
        </w:tc>
      </w:tr>
      <w:tr w:rsidR="00ED105B" w:rsidRPr="009A4938" w:rsidTr="00ED105B">
        <w:tc>
          <w:tcPr>
            <w:tcW w:w="0" w:type="auto"/>
            <w:tcBorders>
              <w:left w:val="single" w:sz="4" w:space="0" w:color="auto"/>
              <w:right w:val="single" w:sz="4" w:space="0" w:color="000000"/>
            </w:tcBorders>
            <w:shd w:val="clear" w:color="auto" w:fill="auto"/>
            <w:vAlign w:val="center"/>
            <w:hideMark/>
          </w:tcPr>
          <w:p w:rsidR="00ED105B" w:rsidRPr="009A4938" w:rsidRDefault="00ED105B" w:rsidP="00ED105B">
            <w:pPr>
              <w:spacing w:before="0" w:after="40" w:line="240" w:lineRule="auto"/>
              <w:rPr>
                <w:b/>
                <w:bCs/>
                <w:sz w:val="18"/>
                <w:szCs w:val="18"/>
                <w:lang w:eastAsia="en-NZ"/>
              </w:rPr>
            </w:pPr>
          </w:p>
        </w:tc>
        <w:tc>
          <w:tcPr>
            <w:tcW w:w="3307" w:type="dxa"/>
            <w:tcBorders>
              <w:left w:val="single" w:sz="4" w:space="0" w:color="000000"/>
              <w:right w:val="single" w:sz="4" w:space="0" w:color="000000"/>
            </w:tcBorders>
            <w:shd w:val="clear" w:color="auto" w:fill="auto"/>
            <w:noWrap/>
            <w:vAlign w:val="bottom"/>
            <w:hideMark/>
          </w:tcPr>
          <w:p w:rsidR="00ED105B" w:rsidRPr="009A4938" w:rsidRDefault="00ED105B" w:rsidP="00ED105B">
            <w:pPr>
              <w:spacing w:before="0" w:after="40" w:line="240" w:lineRule="auto"/>
              <w:rPr>
                <w:sz w:val="18"/>
                <w:szCs w:val="18"/>
                <w:lang w:eastAsia="en-NZ"/>
              </w:rPr>
            </w:pPr>
            <w:r w:rsidRPr="009A4938">
              <w:rPr>
                <w:sz w:val="18"/>
                <w:szCs w:val="18"/>
                <w:lang w:eastAsia="en-NZ"/>
              </w:rPr>
              <w:t>2 Housing</w:t>
            </w:r>
          </w:p>
        </w:tc>
        <w:tc>
          <w:tcPr>
            <w:tcW w:w="0" w:type="auto"/>
            <w:tcBorders>
              <w:left w:val="nil"/>
              <w:right w:val="single" w:sz="4" w:space="0" w:color="auto"/>
            </w:tcBorders>
            <w:shd w:val="clear" w:color="auto" w:fill="auto"/>
            <w:noWrap/>
            <w:vAlign w:val="bottom"/>
            <w:hideMark/>
          </w:tcPr>
          <w:p w:rsidR="00ED105B" w:rsidRPr="009A4938" w:rsidRDefault="00ED105B" w:rsidP="00ED105B">
            <w:pPr>
              <w:spacing w:before="0" w:after="40" w:line="240" w:lineRule="auto"/>
              <w:jc w:val="right"/>
              <w:rPr>
                <w:sz w:val="18"/>
                <w:szCs w:val="18"/>
                <w:lang w:eastAsia="en-NZ"/>
              </w:rPr>
            </w:pPr>
            <w:r w:rsidRPr="009A4938">
              <w:rPr>
                <w:sz w:val="18"/>
                <w:szCs w:val="18"/>
                <w:lang w:eastAsia="en-NZ"/>
              </w:rPr>
              <w:t>128,095</w:t>
            </w:r>
          </w:p>
        </w:tc>
        <w:tc>
          <w:tcPr>
            <w:tcW w:w="868" w:type="dxa"/>
            <w:tcBorders>
              <w:left w:val="single" w:sz="4" w:space="0" w:color="auto"/>
              <w:right w:val="single" w:sz="4" w:space="0" w:color="auto"/>
            </w:tcBorders>
            <w:shd w:val="clear" w:color="000000" w:fill="FFB55B"/>
            <w:noWrap/>
            <w:vAlign w:val="bottom"/>
            <w:hideMark/>
          </w:tcPr>
          <w:p w:rsidR="00ED105B" w:rsidRPr="009A4938" w:rsidRDefault="00ED105B" w:rsidP="00ED105B">
            <w:pPr>
              <w:spacing w:before="0" w:after="40" w:line="240" w:lineRule="auto"/>
              <w:jc w:val="right"/>
              <w:rPr>
                <w:sz w:val="18"/>
                <w:szCs w:val="18"/>
                <w:lang w:eastAsia="en-NZ"/>
              </w:rPr>
            </w:pPr>
            <w:r w:rsidRPr="009A4938">
              <w:rPr>
                <w:sz w:val="18"/>
                <w:szCs w:val="18"/>
                <w:lang w:eastAsia="en-NZ"/>
              </w:rPr>
              <w:t>14.83%</w:t>
            </w:r>
          </w:p>
        </w:tc>
        <w:tc>
          <w:tcPr>
            <w:tcW w:w="1532" w:type="dxa"/>
            <w:tcBorders>
              <w:left w:val="nil"/>
              <w:right w:val="nil"/>
            </w:tcBorders>
            <w:shd w:val="clear" w:color="000000" w:fill="FFFFFF"/>
            <w:noWrap/>
            <w:vAlign w:val="bottom"/>
            <w:hideMark/>
          </w:tcPr>
          <w:p w:rsidR="00ED105B" w:rsidRPr="009A4938" w:rsidRDefault="00ED105B" w:rsidP="00ED105B">
            <w:pPr>
              <w:spacing w:before="0" w:after="40" w:line="240" w:lineRule="auto"/>
              <w:rPr>
                <w:rFonts w:ascii="Arial" w:hAnsi="Arial" w:cs="Arial"/>
                <w:sz w:val="18"/>
                <w:szCs w:val="18"/>
                <w:lang w:eastAsia="en-NZ"/>
              </w:rPr>
            </w:pPr>
            <w:r w:rsidRPr="009A4938">
              <w:rPr>
                <w:rFonts w:ascii="Arial" w:hAnsi="Arial" w:cs="Arial"/>
                <w:sz w:val="18"/>
                <w:szCs w:val="18"/>
                <w:lang w:eastAsia="en-NZ"/>
              </w:rPr>
              <w:t>||||||||||||||</w:t>
            </w:r>
          </w:p>
        </w:tc>
        <w:tc>
          <w:tcPr>
            <w:tcW w:w="0" w:type="auto"/>
            <w:tcBorders>
              <w:left w:val="nil"/>
              <w:right w:val="single" w:sz="4" w:space="0" w:color="auto"/>
            </w:tcBorders>
            <w:shd w:val="clear" w:color="auto" w:fill="auto"/>
            <w:noWrap/>
            <w:vAlign w:val="bottom"/>
            <w:hideMark/>
          </w:tcPr>
          <w:p w:rsidR="00ED105B" w:rsidRPr="009A4938" w:rsidRDefault="00ED105B" w:rsidP="00ED105B">
            <w:pPr>
              <w:spacing w:before="0" w:after="40" w:line="240" w:lineRule="auto"/>
              <w:rPr>
                <w:color w:val="000000"/>
                <w:sz w:val="18"/>
                <w:szCs w:val="18"/>
                <w:lang w:eastAsia="en-NZ"/>
              </w:rPr>
            </w:pPr>
            <w:r w:rsidRPr="009A4938">
              <w:rPr>
                <w:color w:val="000000"/>
                <w:sz w:val="18"/>
                <w:szCs w:val="18"/>
                <w:lang w:eastAsia="en-NZ"/>
              </w:rPr>
              <w:t>Usable</w:t>
            </w:r>
          </w:p>
        </w:tc>
      </w:tr>
      <w:tr w:rsidR="00ED105B" w:rsidRPr="009A4938" w:rsidTr="00ED105B">
        <w:tc>
          <w:tcPr>
            <w:tcW w:w="0" w:type="auto"/>
            <w:tcBorders>
              <w:left w:val="single" w:sz="4" w:space="0" w:color="auto"/>
              <w:right w:val="single" w:sz="4" w:space="0" w:color="000000"/>
            </w:tcBorders>
            <w:shd w:val="clear" w:color="auto" w:fill="auto"/>
            <w:vAlign w:val="center"/>
            <w:hideMark/>
          </w:tcPr>
          <w:p w:rsidR="00ED105B" w:rsidRPr="009A4938" w:rsidRDefault="00ED105B" w:rsidP="00ED105B">
            <w:pPr>
              <w:spacing w:before="0" w:after="40" w:line="240" w:lineRule="auto"/>
              <w:rPr>
                <w:b/>
                <w:bCs/>
                <w:sz w:val="18"/>
                <w:szCs w:val="18"/>
                <w:lang w:eastAsia="en-NZ"/>
              </w:rPr>
            </w:pPr>
          </w:p>
        </w:tc>
        <w:tc>
          <w:tcPr>
            <w:tcW w:w="3307" w:type="dxa"/>
            <w:tcBorders>
              <w:left w:val="single" w:sz="4" w:space="0" w:color="000000"/>
              <w:right w:val="single" w:sz="4" w:space="0" w:color="000000"/>
            </w:tcBorders>
            <w:shd w:val="clear" w:color="auto" w:fill="auto"/>
            <w:noWrap/>
            <w:vAlign w:val="bottom"/>
            <w:hideMark/>
          </w:tcPr>
          <w:p w:rsidR="00ED105B" w:rsidRPr="009A4938" w:rsidRDefault="00ED105B" w:rsidP="00ED105B">
            <w:pPr>
              <w:spacing w:before="0" w:after="40" w:line="240" w:lineRule="auto"/>
              <w:rPr>
                <w:sz w:val="18"/>
                <w:szCs w:val="18"/>
                <w:lang w:eastAsia="en-NZ"/>
              </w:rPr>
            </w:pPr>
            <w:r w:rsidRPr="009A4938">
              <w:rPr>
                <w:sz w:val="18"/>
                <w:szCs w:val="18"/>
                <w:lang w:eastAsia="en-NZ"/>
              </w:rPr>
              <w:t>3 Household Operations</w:t>
            </w:r>
          </w:p>
        </w:tc>
        <w:tc>
          <w:tcPr>
            <w:tcW w:w="0" w:type="auto"/>
            <w:tcBorders>
              <w:left w:val="nil"/>
              <w:right w:val="single" w:sz="4" w:space="0" w:color="auto"/>
            </w:tcBorders>
            <w:shd w:val="clear" w:color="auto" w:fill="auto"/>
            <w:noWrap/>
            <w:vAlign w:val="bottom"/>
            <w:hideMark/>
          </w:tcPr>
          <w:p w:rsidR="00ED105B" w:rsidRPr="009A4938" w:rsidRDefault="00ED105B" w:rsidP="00ED105B">
            <w:pPr>
              <w:spacing w:before="0" w:after="40" w:line="240" w:lineRule="auto"/>
              <w:jc w:val="right"/>
              <w:rPr>
                <w:sz w:val="18"/>
                <w:szCs w:val="18"/>
                <w:lang w:eastAsia="en-NZ"/>
              </w:rPr>
            </w:pPr>
            <w:r w:rsidRPr="009A4938">
              <w:rPr>
                <w:sz w:val="18"/>
                <w:szCs w:val="18"/>
                <w:lang w:eastAsia="en-NZ"/>
              </w:rPr>
              <w:t>297,498</w:t>
            </w:r>
          </w:p>
        </w:tc>
        <w:tc>
          <w:tcPr>
            <w:tcW w:w="868" w:type="dxa"/>
            <w:tcBorders>
              <w:left w:val="single" w:sz="4" w:space="0" w:color="auto"/>
              <w:right w:val="single" w:sz="4" w:space="0" w:color="auto"/>
            </w:tcBorders>
            <w:shd w:val="clear" w:color="000000" w:fill="FFB55B"/>
            <w:noWrap/>
            <w:vAlign w:val="bottom"/>
            <w:hideMark/>
          </w:tcPr>
          <w:p w:rsidR="00ED105B" w:rsidRPr="009A4938" w:rsidRDefault="00ED105B" w:rsidP="00ED105B">
            <w:pPr>
              <w:spacing w:before="0" w:after="40" w:line="240" w:lineRule="auto"/>
              <w:jc w:val="right"/>
              <w:rPr>
                <w:sz w:val="18"/>
                <w:szCs w:val="18"/>
                <w:lang w:eastAsia="en-NZ"/>
              </w:rPr>
            </w:pPr>
            <w:r w:rsidRPr="009A4938">
              <w:rPr>
                <w:sz w:val="18"/>
                <w:szCs w:val="18"/>
                <w:lang w:eastAsia="en-NZ"/>
              </w:rPr>
              <w:t>6.23%</w:t>
            </w:r>
          </w:p>
        </w:tc>
        <w:tc>
          <w:tcPr>
            <w:tcW w:w="1532" w:type="dxa"/>
            <w:tcBorders>
              <w:left w:val="nil"/>
              <w:right w:val="nil"/>
            </w:tcBorders>
            <w:shd w:val="clear" w:color="000000" w:fill="FFFFFF"/>
            <w:noWrap/>
            <w:vAlign w:val="bottom"/>
            <w:hideMark/>
          </w:tcPr>
          <w:p w:rsidR="00ED105B" w:rsidRPr="009A4938" w:rsidRDefault="00ED105B" w:rsidP="00ED105B">
            <w:pPr>
              <w:spacing w:before="0" w:after="40" w:line="240" w:lineRule="auto"/>
              <w:rPr>
                <w:rFonts w:ascii="Arial" w:hAnsi="Arial" w:cs="Arial"/>
                <w:sz w:val="18"/>
                <w:szCs w:val="18"/>
                <w:lang w:eastAsia="en-NZ"/>
              </w:rPr>
            </w:pPr>
            <w:r w:rsidRPr="009A4938">
              <w:rPr>
                <w:rFonts w:ascii="Arial" w:hAnsi="Arial" w:cs="Arial"/>
                <w:sz w:val="18"/>
                <w:szCs w:val="18"/>
                <w:lang w:eastAsia="en-NZ"/>
              </w:rPr>
              <w:t>||||||</w:t>
            </w:r>
          </w:p>
        </w:tc>
        <w:tc>
          <w:tcPr>
            <w:tcW w:w="0" w:type="auto"/>
            <w:tcBorders>
              <w:left w:val="nil"/>
              <w:right w:val="single" w:sz="4" w:space="0" w:color="auto"/>
            </w:tcBorders>
            <w:shd w:val="clear" w:color="auto" w:fill="auto"/>
            <w:noWrap/>
            <w:vAlign w:val="bottom"/>
            <w:hideMark/>
          </w:tcPr>
          <w:p w:rsidR="00ED105B" w:rsidRPr="009A4938" w:rsidRDefault="00ED105B" w:rsidP="00ED105B">
            <w:pPr>
              <w:spacing w:before="0" w:after="40" w:line="240" w:lineRule="auto"/>
              <w:rPr>
                <w:color w:val="000000"/>
                <w:sz w:val="18"/>
                <w:szCs w:val="18"/>
                <w:lang w:eastAsia="en-NZ"/>
              </w:rPr>
            </w:pPr>
            <w:r w:rsidRPr="009A4938">
              <w:rPr>
                <w:color w:val="000000"/>
                <w:sz w:val="18"/>
                <w:szCs w:val="18"/>
                <w:lang w:eastAsia="en-NZ"/>
              </w:rPr>
              <w:t>Good</w:t>
            </w:r>
          </w:p>
        </w:tc>
      </w:tr>
      <w:tr w:rsidR="00ED105B" w:rsidRPr="009A4938" w:rsidTr="00ED105B">
        <w:tc>
          <w:tcPr>
            <w:tcW w:w="0" w:type="auto"/>
            <w:tcBorders>
              <w:left w:val="single" w:sz="4" w:space="0" w:color="auto"/>
              <w:right w:val="single" w:sz="4" w:space="0" w:color="000000"/>
            </w:tcBorders>
            <w:shd w:val="clear" w:color="auto" w:fill="auto"/>
            <w:vAlign w:val="center"/>
            <w:hideMark/>
          </w:tcPr>
          <w:p w:rsidR="00ED105B" w:rsidRPr="009A4938" w:rsidRDefault="00ED105B" w:rsidP="00ED105B">
            <w:pPr>
              <w:spacing w:before="0" w:after="40" w:line="240" w:lineRule="auto"/>
              <w:rPr>
                <w:b/>
                <w:bCs/>
                <w:sz w:val="18"/>
                <w:szCs w:val="18"/>
                <w:lang w:eastAsia="en-NZ"/>
              </w:rPr>
            </w:pPr>
          </w:p>
        </w:tc>
        <w:tc>
          <w:tcPr>
            <w:tcW w:w="3307" w:type="dxa"/>
            <w:tcBorders>
              <w:left w:val="single" w:sz="4" w:space="0" w:color="000000"/>
              <w:right w:val="single" w:sz="4" w:space="0" w:color="000000"/>
            </w:tcBorders>
            <w:shd w:val="clear" w:color="auto" w:fill="auto"/>
            <w:noWrap/>
            <w:vAlign w:val="bottom"/>
            <w:hideMark/>
          </w:tcPr>
          <w:p w:rsidR="00ED105B" w:rsidRPr="009A4938" w:rsidRDefault="00ED105B" w:rsidP="00ED105B">
            <w:pPr>
              <w:spacing w:before="0" w:after="40" w:line="240" w:lineRule="auto"/>
              <w:rPr>
                <w:sz w:val="18"/>
                <w:szCs w:val="18"/>
                <w:lang w:eastAsia="en-NZ"/>
              </w:rPr>
            </w:pPr>
            <w:r w:rsidRPr="009A4938">
              <w:rPr>
                <w:sz w:val="18"/>
                <w:szCs w:val="18"/>
                <w:lang w:eastAsia="en-NZ"/>
              </w:rPr>
              <w:t>4 Clothing &amp; Footwear</w:t>
            </w:r>
          </w:p>
        </w:tc>
        <w:tc>
          <w:tcPr>
            <w:tcW w:w="0" w:type="auto"/>
            <w:tcBorders>
              <w:left w:val="nil"/>
              <w:right w:val="single" w:sz="4" w:space="0" w:color="auto"/>
            </w:tcBorders>
            <w:shd w:val="clear" w:color="auto" w:fill="auto"/>
            <w:noWrap/>
            <w:vAlign w:val="bottom"/>
            <w:hideMark/>
          </w:tcPr>
          <w:p w:rsidR="00ED105B" w:rsidRPr="009A4938" w:rsidRDefault="00ED105B" w:rsidP="00ED105B">
            <w:pPr>
              <w:spacing w:before="0" w:after="40" w:line="240" w:lineRule="auto"/>
              <w:jc w:val="right"/>
              <w:rPr>
                <w:sz w:val="18"/>
                <w:szCs w:val="18"/>
                <w:lang w:eastAsia="en-NZ"/>
              </w:rPr>
            </w:pPr>
            <w:r w:rsidRPr="009A4938">
              <w:rPr>
                <w:sz w:val="18"/>
                <w:szCs w:val="18"/>
                <w:lang w:eastAsia="en-NZ"/>
              </w:rPr>
              <w:t>6,233</w:t>
            </w:r>
          </w:p>
        </w:tc>
        <w:tc>
          <w:tcPr>
            <w:tcW w:w="868" w:type="dxa"/>
            <w:tcBorders>
              <w:left w:val="single" w:sz="4" w:space="0" w:color="auto"/>
              <w:right w:val="single" w:sz="4" w:space="0" w:color="auto"/>
            </w:tcBorders>
            <w:shd w:val="clear" w:color="000000" w:fill="FFB55B"/>
            <w:noWrap/>
            <w:vAlign w:val="bottom"/>
            <w:hideMark/>
          </w:tcPr>
          <w:p w:rsidR="00ED105B" w:rsidRPr="009A4938" w:rsidRDefault="00ED105B" w:rsidP="00ED105B">
            <w:pPr>
              <w:spacing w:before="0" w:after="40" w:line="240" w:lineRule="auto"/>
              <w:jc w:val="right"/>
              <w:rPr>
                <w:sz w:val="18"/>
                <w:szCs w:val="18"/>
                <w:lang w:eastAsia="en-NZ"/>
              </w:rPr>
            </w:pPr>
            <w:r w:rsidRPr="009A4938">
              <w:rPr>
                <w:sz w:val="18"/>
                <w:szCs w:val="18"/>
                <w:lang w:eastAsia="en-NZ"/>
              </w:rPr>
              <w:t>9.66%</w:t>
            </w:r>
          </w:p>
        </w:tc>
        <w:tc>
          <w:tcPr>
            <w:tcW w:w="1532" w:type="dxa"/>
            <w:tcBorders>
              <w:left w:val="nil"/>
              <w:right w:val="nil"/>
            </w:tcBorders>
            <w:shd w:val="clear" w:color="000000" w:fill="FFFFFF"/>
            <w:noWrap/>
            <w:vAlign w:val="bottom"/>
            <w:hideMark/>
          </w:tcPr>
          <w:p w:rsidR="00ED105B" w:rsidRPr="009A4938" w:rsidRDefault="00ED105B" w:rsidP="00ED105B">
            <w:pPr>
              <w:spacing w:before="0" w:after="40" w:line="240" w:lineRule="auto"/>
              <w:rPr>
                <w:rFonts w:ascii="Arial" w:hAnsi="Arial" w:cs="Arial"/>
                <w:sz w:val="18"/>
                <w:szCs w:val="18"/>
                <w:lang w:eastAsia="en-NZ"/>
              </w:rPr>
            </w:pPr>
            <w:r w:rsidRPr="009A4938">
              <w:rPr>
                <w:rFonts w:ascii="Arial" w:hAnsi="Arial" w:cs="Arial"/>
                <w:sz w:val="18"/>
                <w:szCs w:val="18"/>
                <w:lang w:eastAsia="en-NZ"/>
              </w:rPr>
              <w:t>|||||||||</w:t>
            </w:r>
          </w:p>
        </w:tc>
        <w:tc>
          <w:tcPr>
            <w:tcW w:w="0" w:type="auto"/>
            <w:tcBorders>
              <w:left w:val="nil"/>
              <w:right w:val="single" w:sz="4" w:space="0" w:color="auto"/>
            </w:tcBorders>
            <w:shd w:val="clear" w:color="auto" w:fill="auto"/>
            <w:noWrap/>
            <w:vAlign w:val="bottom"/>
            <w:hideMark/>
          </w:tcPr>
          <w:p w:rsidR="00ED105B" w:rsidRPr="009A4938" w:rsidRDefault="00ED105B" w:rsidP="00ED105B">
            <w:pPr>
              <w:spacing w:before="0" w:after="40" w:line="240" w:lineRule="auto"/>
              <w:rPr>
                <w:color w:val="000000"/>
                <w:sz w:val="18"/>
                <w:szCs w:val="18"/>
                <w:lang w:eastAsia="en-NZ"/>
              </w:rPr>
            </w:pPr>
            <w:r w:rsidRPr="009A4938">
              <w:rPr>
                <w:color w:val="000000"/>
                <w:sz w:val="18"/>
                <w:szCs w:val="18"/>
                <w:lang w:eastAsia="en-NZ"/>
              </w:rPr>
              <w:t>Good</w:t>
            </w:r>
          </w:p>
        </w:tc>
      </w:tr>
      <w:tr w:rsidR="00ED105B" w:rsidRPr="009A4938" w:rsidTr="00ED105B">
        <w:tc>
          <w:tcPr>
            <w:tcW w:w="0" w:type="auto"/>
            <w:tcBorders>
              <w:left w:val="single" w:sz="4" w:space="0" w:color="auto"/>
              <w:right w:val="single" w:sz="4" w:space="0" w:color="000000"/>
            </w:tcBorders>
            <w:shd w:val="clear" w:color="auto" w:fill="auto"/>
            <w:vAlign w:val="center"/>
            <w:hideMark/>
          </w:tcPr>
          <w:p w:rsidR="00ED105B" w:rsidRPr="009A4938" w:rsidRDefault="00ED105B" w:rsidP="00ED105B">
            <w:pPr>
              <w:spacing w:before="0" w:after="40" w:line="240" w:lineRule="auto"/>
              <w:rPr>
                <w:b/>
                <w:bCs/>
                <w:sz w:val="18"/>
                <w:szCs w:val="18"/>
                <w:lang w:eastAsia="en-NZ"/>
              </w:rPr>
            </w:pPr>
          </w:p>
        </w:tc>
        <w:tc>
          <w:tcPr>
            <w:tcW w:w="3307" w:type="dxa"/>
            <w:tcBorders>
              <w:left w:val="single" w:sz="4" w:space="0" w:color="000000"/>
              <w:right w:val="single" w:sz="4" w:space="0" w:color="000000"/>
            </w:tcBorders>
            <w:shd w:val="clear" w:color="auto" w:fill="auto"/>
            <w:noWrap/>
            <w:vAlign w:val="bottom"/>
            <w:hideMark/>
          </w:tcPr>
          <w:p w:rsidR="00ED105B" w:rsidRPr="009A4938" w:rsidRDefault="00ED105B" w:rsidP="00ED105B">
            <w:pPr>
              <w:spacing w:before="0" w:after="40" w:line="240" w:lineRule="auto"/>
              <w:rPr>
                <w:sz w:val="18"/>
                <w:szCs w:val="18"/>
                <w:lang w:eastAsia="en-NZ"/>
              </w:rPr>
            </w:pPr>
            <w:r w:rsidRPr="009A4938">
              <w:rPr>
                <w:sz w:val="18"/>
                <w:szCs w:val="18"/>
                <w:lang w:eastAsia="en-NZ"/>
              </w:rPr>
              <w:t>5 Transport</w:t>
            </w:r>
          </w:p>
        </w:tc>
        <w:tc>
          <w:tcPr>
            <w:tcW w:w="0" w:type="auto"/>
            <w:tcBorders>
              <w:left w:val="nil"/>
              <w:right w:val="single" w:sz="4" w:space="0" w:color="auto"/>
            </w:tcBorders>
            <w:shd w:val="clear" w:color="auto" w:fill="auto"/>
            <w:noWrap/>
            <w:vAlign w:val="bottom"/>
            <w:hideMark/>
          </w:tcPr>
          <w:p w:rsidR="00ED105B" w:rsidRPr="009A4938" w:rsidRDefault="00ED105B" w:rsidP="00ED105B">
            <w:pPr>
              <w:spacing w:before="0" w:after="40" w:line="240" w:lineRule="auto"/>
              <w:jc w:val="right"/>
              <w:rPr>
                <w:sz w:val="18"/>
                <w:szCs w:val="18"/>
                <w:lang w:eastAsia="en-NZ"/>
              </w:rPr>
            </w:pPr>
            <w:r w:rsidRPr="009A4938">
              <w:rPr>
                <w:sz w:val="18"/>
                <w:szCs w:val="18"/>
                <w:lang w:eastAsia="en-NZ"/>
              </w:rPr>
              <w:t>106,550</w:t>
            </w:r>
          </w:p>
        </w:tc>
        <w:tc>
          <w:tcPr>
            <w:tcW w:w="868" w:type="dxa"/>
            <w:tcBorders>
              <w:left w:val="single" w:sz="4" w:space="0" w:color="auto"/>
              <w:right w:val="single" w:sz="4" w:space="0" w:color="auto"/>
            </w:tcBorders>
            <w:shd w:val="clear" w:color="000000" w:fill="FFB55B"/>
            <w:noWrap/>
            <w:vAlign w:val="bottom"/>
            <w:hideMark/>
          </w:tcPr>
          <w:p w:rsidR="00ED105B" w:rsidRPr="009A4938" w:rsidRDefault="00ED105B" w:rsidP="00ED105B">
            <w:pPr>
              <w:spacing w:before="0" w:after="40" w:line="240" w:lineRule="auto"/>
              <w:jc w:val="right"/>
              <w:rPr>
                <w:sz w:val="18"/>
                <w:szCs w:val="18"/>
                <w:lang w:eastAsia="en-NZ"/>
              </w:rPr>
            </w:pPr>
            <w:r w:rsidRPr="009A4938">
              <w:rPr>
                <w:sz w:val="18"/>
                <w:szCs w:val="18"/>
                <w:lang w:eastAsia="en-NZ"/>
              </w:rPr>
              <w:t>11.75%</w:t>
            </w:r>
          </w:p>
        </w:tc>
        <w:tc>
          <w:tcPr>
            <w:tcW w:w="1532" w:type="dxa"/>
            <w:tcBorders>
              <w:left w:val="nil"/>
              <w:right w:val="nil"/>
            </w:tcBorders>
            <w:shd w:val="clear" w:color="000000" w:fill="FFFFFF"/>
            <w:noWrap/>
            <w:vAlign w:val="bottom"/>
            <w:hideMark/>
          </w:tcPr>
          <w:p w:rsidR="00ED105B" w:rsidRPr="009A4938" w:rsidRDefault="00ED105B" w:rsidP="00ED105B">
            <w:pPr>
              <w:spacing w:before="0" w:after="40" w:line="240" w:lineRule="auto"/>
              <w:rPr>
                <w:rFonts w:ascii="Arial" w:hAnsi="Arial" w:cs="Arial"/>
                <w:sz w:val="18"/>
                <w:szCs w:val="18"/>
                <w:lang w:eastAsia="en-NZ"/>
              </w:rPr>
            </w:pPr>
            <w:r w:rsidRPr="009A4938">
              <w:rPr>
                <w:rFonts w:ascii="Arial" w:hAnsi="Arial" w:cs="Arial"/>
                <w:sz w:val="18"/>
                <w:szCs w:val="18"/>
                <w:lang w:eastAsia="en-NZ"/>
              </w:rPr>
              <w:t>|||||||||||</w:t>
            </w:r>
          </w:p>
        </w:tc>
        <w:tc>
          <w:tcPr>
            <w:tcW w:w="0" w:type="auto"/>
            <w:tcBorders>
              <w:left w:val="nil"/>
              <w:right w:val="single" w:sz="4" w:space="0" w:color="auto"/>
            </w:tcBorders>
            <w:shd w:val="clear" w:color="auto" w:fill="auto"/>
            <w:noWrap/>
            <w:vAlign w:val="bottom"/>
            <w:hideMark/>
          </w:tcPr>
          <w:p w:rsidR="00ED105B" w:rsidRPr="009A4938" w:rsidRDefault="00ED105B" w:rsidP="00ED105B">
            <w:pPr>
              <w:spacing w:before="0" w:after="40" w:line="240" w:lineRule="auto"/>
              <w:rPr>
                <w:color w:val="000000"/>
                <w:sz w:val="18"/>
                <w:szCs w:val="18"/>
                <w:lang w:eastAsia="en-NZ"/>
              </w:rPr>
            </w:pPr>
            <w:r w:rsidRPr="009A4938">
              <w:rPr>
                <w:color w:val="000000"/>
                <w:sz w:val="18"/>
                <w:szCs w:val="18"/>
                <w:lang w:eastAsia="en-NZ"/>
              </w:rPr>
              <w:t>Usable</w:t>
            </w:r>
          </w:p>
        </w:tc>
      </w:tr>
      <w:tr w:rsidR="00ED105B" w:rsidRPr="009A4938" w:rsidTr="00ED105B">
        <w:tc>
          <w:tcPr>
            <w:tcW w:w="0" w:type="auto"/>
            <w:tcBorders>
              <w:left w:val="single" w:sz="4" w:space="0" w:color="auto"/>
              <w:right w:val="single" w:sz="4" w:space="0" w:color="000000"/>
            </w:tcBorders>
            <w:shd w:val="clear" w:color="auto" w:fill="auto"/>
            <w:vAlign w:val="center"/>
            <w:hideMark/>
          </w:tcPr>
          <w:p w:rsidR="00ED105B" w:rsidRPr="009A4938" w:rsidRDefault="00ED105B" w:rsidP="00ED105B">
            <w:pPr>
              <w:spacing w:before="0" w:after="40" w:line="240" w:lineRule="auto"/>
              <w:rPr>
                <w:b/>
                <w:bCs/>
                <w:sz w:val="18"/>
                <w:szCs w:val="18"/>
                <w:lang w:eastAsia="en-NZ"/>
              </w:rPr>
            </w:pPr>
          </w:p>
        </w:tc>
        <w:tc>
          <w:tcPr>
            <w:tcW w:w="3307" w:type="dxa"/>
            <w:tcBorders>
              <w:left w:val="single" w:sz="4" w:space="0" w:color="000000"/>
              <w:right w:val="single" w:sz="4" w:space="0" w:color="000000"/>
            </w:tcBorders>
            <w:shd w:val="clear" w:color="auto" w:fill="auto"/>
            <w:noWrap/>
            <w:vAlign w:val="bottom"/>
            <w:hideMark/>
          </w:tcPr>
          <w:p w:rsidR="00ED105B" w:rsidRPr="009A4938" w:rsidRDefault="00ED105B" w:rsidP="00ED105B">
            <w:pPr>
              <w:spacing w:before="0" w:after="40" w:line="240" w:lineRule="auto"/>
              <w:rPr>
                <w:sz w:val="18"/>
                <w:szCs w:val="18"/>
                <w:lang w:eastAsia="en-NZ"/>
              </w:rPr>
            </w:pPr>
            <w:r w:rsidRPr="009A4938">
              <w:rPr>
                <w:sz w:val="18"/>
                <w:szCs w:val="18"/>
                <w:lang w:eastAsia="en-NZ"/>
              </w:rPr>
              <w:t>6 Alcohol, kava &amp; tobacco</w:t>
            </w:r>
          </w:p>
        </w:tc>
        <w:tc>
          <w:tcPr>
            <w:tcW w:w="0" w:type="auto"/>
            <w:tcBorders>
              <w:left w:val="nil"/>
              <w:right w:val="single" w:sz="4" w:space="0" w:color="auto"/>
            </w:tcBorders>
            <w:shd w:val="clear" w:color="auto" w:fill="auto"/>
            <w:noWrap/>
            <w:vAlign w:val="bottom"/>
            <w:hideMark/>
          </w:tcPr>
          <w:p w:rsidR="00ED105B" w:rsidRPr="009A4938" w:rsidRDefault="00ED105B" w:rsidP="00ED105B">
            <w:pPr>
              <w:spacing w:before="0" w:after="40" w:line="240" w:lineRule="auto"/>
              <w:jc w:val="right"/>
              <w:rPr>
                <w:sz w:val="18"/>
                <w:szCs w:val="18"/>
                <w:lang w:eastAsia="en-NZ"/>
              </w:rPr>
            </w:pPr>
            <w:r w:rsidRPr="009A4938">
              <w:rPr>
                <w:sz w:val="18"/>
                <w:szCs w:val="18"/>
                <w:lang w:eastAsia="en-NZ"/>
              </w:rPr>
              <w:t>120,783</w:t>
            </w:r>
          </w:p>
        </w:tc>
        <w:tc>
          <w:tcPr>
            <w:tcW w:w="868" w:type="dxa"/>
            <w:tcBorders>
              <w:left w:val="single" w:sz="4" w:space="0" w:color="auto"/>
              <w:right w:val="single" w:sz="4" w:space="0" w:color="auto"/>
            </w:tcBorders>
            <w:shd w:val="clear" w:color="000000" w:fill="FFB55B"/>
            <w:noWrap/>
            <w:vAlign w:val="bottom"/>
            <w:hideMark/>
          </w:tcPr>
          <w:p w:rsidR="00ED105B" w:rsidRPr="009A4938" w:rsidRDefault="00ED105B" w:rsidP="00ED105B">
            <w:pPr>
              <w:spacing w:before="0" w:after="40" w:line="240" w:lineRule="auto"/>
              <w:jc w:val="right"/>
              <w:rPr>
                <w:sz w:val="18"/>
                <w:szCs w:val="18"/>
                <w:lang w:eastAsia="en-NZ"/>
              </w:rPr>
            </w:pPr>
            <w:r w:rsidRPr="009A4938">
              <w:rPr>
                <w:sz w:val="18"/>
                <w:szCs w:val="18"/>
                <w:lang w:eastAsia="en-NZ"/>
              </w:rPr>
              <w:t>5.84%</w:t>
            </w:r>
          </w:p>
        </w:tc>
        <w:tc>
          <w:tcPr>
            <w:tcW w:w="1532" w:type="dxa"/>
            <w:tcBorders>
              <w:left w:val="nil"/>
              <w:right w:val="nil"/>
            </w:tcBorders>
            <w:shd w:val="clear" w:color="000000" w:fill="FFFFFF"/>
            <w:noWrap/>
            <w:vAlign w:val="bottom"/>
            <w:hideMark/>
          </w:tcPr>
          <w:p w:rsidR="00ED105B" w:rsidRPr="009A4938" w:rsidRDefault="00ED105B" w:rsidP="00ED105B">
            <w:pPr>
              <w:spacing w:before="0" w:after="40" w:line="240" w:lineRule="auto"/>
              <w:rPr>
                <w:rFonts w:ascii="Arial" w:hAnsi="Arial" w:cs="Arial"/>
                <w:sz w:val="18"/>
                <w:szCs w:val="18"/>
                <w:lang w:eastAsia="en-NZ"/>
              </w:rPr>
            </w:pPr>
            <w:r w:rsidRPr="009A4938">
              <w:rPr>
                <w:rFonts w:ascii="Arial" w:hAnsi="Arial" w:cs="Arial"/>
                <w:sz w:val="18"/>
                <w:szCs w:val="18"/>
                <w:lang w:eastAsia="en-NZ"/>
              </w:rPr>
              <w:t>|||||</w:t>
            </w:r>
          </w:p>
        </w:tc>
        <w:tc>
          <w:tcPr>
            <w:tcW w:w="0" w:type="auto"/>
            <w:tcBorders>
              <w:left w:val="nil"/>
              <w:right w:val="single" w:sz="4" w:space="0" w:color="auto"/>
            </w:tcBorders>
            <w:shd w:val="clear" w:color="auto" w:fill="auto"/>
            <w:noWrap/>
            <w:vAlign w:val="bottom"/>
            <w:hideMark/>
          </w:tcPr>
          <w:p w:rsidR="00ED105B" w:rsidRPr="009A4938" w:rsidRDefault="00ED105B" w:rsidP="00ED105B">
            <w:pPr>
              <w:spacing w:before="0" w:after="40" w:line="240" w:lineRule="auto"/>
              <w:rPr>
                <w:color w:val="000000"/>
                <w:sz w:val="18"/>
                <w:szCs w:val="18"/>
                <w:lang w:eastAsia="en-NZ"/>
              </w:rPr>
            </w:pPr>
            <w:r w:rsidRPr="009A4938">
              <w:rPr>
                <w:color w:val="000000"/>
                <w:sz w:val="18"/>
                <w:szCs w:val="18"/>
                <w:lang w:eastAsia="en-NZ"/>
              </w:rPr>
              <w:t>Good</w:t>
            </w:r>
          </w:p>
        </w:tc>
      </w:tr>
      <w:tr w:rsidR="00ED105B" w:rsidRPr="009A4938" w:rsidTr="00ED105B">
        <w:tc>
          <w:tcPr>
            <w:tcW w:w="0" w:type="auto"/>
            <w:tcBorders>
              <w:left w:val="single" w:sz="4" w:space="0" w:color="auto"/>
              <w:right w:val="single" w:sz="4" w:space="0" w:color="000000"/>
            </w:tcBorders>
            <w:shd w:val="clear" w:color="auto" w:fill="auto"/>
            <w:vAlign w:val="center"/>
            <w:hideMark/>
          </w:tcPr>
          <w:p w:rsidR="00ED105B" w:rsidRPr="009A4938" w:rsidRDefault="00ED105B" w:rsidP="00ED105B">
            <w:pPr>
              <w:spacing w:before="0" w:after="40" w:line="240" w:lineRule="auto"/>
              <w:rPr>
                <w:b/>
                <w:bCs/>
                <w:sz w:val="18"/>
                <w:szCs w:val="18"/>
                <w:lang w:eastAsia="en-NZ"/>
              </w:rPr>
            </w:pPr>
          </w:p>
        </w:tc>
        <w:tc>
          <w:tcPr>
            <w:tcW w:w="3307" w:type="dxa"/>
            <w:tcBorders>
              <w:left w:val="single" w:sz="4" w:space="0" w:color="000000"/>
              <w:right w:val="single" w:sz="4" w:space="0" w:color="000000"/>
            </w:tcBorders>
            <w:shd w:val="clear" w:color="auto" w:fill="auto"/>
            <w:noWrap/>
            <w:vAlign w:val="bottom"/>
            <w:hideMark/>
          </w:tcPr>
          <w:p w:rsidR="00ED105B" w:rsidRPr="009A4938" w:rsidRDefault="00ED105B" w:rsidP="00ED105B">
            <w:pPr>
              <w:spacing w:before="0" w:after="40" w:line="240" w:lineRule="auto"/>
              <w:rPr>
                <w:sz w:val="18"/>
                <w:szCs w:val="18"/>
                <w:lang w:eastAsia="en-NZ"/>
              </w:rPr>
            </w:pPr>
            <w:r w:rsidRPr="009A4938">
              <w:rPr>
                <w:sz w:val="18"/>
                <w:szCs w:val="18"/>
                <w:lang w:eastAsia="en-NZ"/>
              </w:rPr>
              <w:t>7 Miscellaneous</w:t>
            </w:r>
          </w:p>
        </w:tc>
        <w:tc>
          <w:tcPr>
            <w:tcW w:w="0" w:type="auto"/>
            <w:tcBorders>
              <w:left w:val="nil"/>
              <w:right w:val="single" w:sz="4" w:space="0" w:color="auto"/>
            </w:tcBorders>
            <w:shd w:val="clear" w:color="auto" w:fill="auto"/>
            <w:noWrap/>
            <w:vAlign w:val="bottom"/>
            <w:hideMark/>
          </w:tcPr>
          <w:p w:rsidR="00ED105B" w:rsidRPr="009A4938" w:rsidRDefault="00ED105B" w:rsidP="00ED105B">
            <w:pPr>
              <w:spacing w:before="0" w:after="40" w:line="240" w:lineRule="auto"/>
              <w:jc w:val="right"/>
              <w:rPr>
                <w:sz w:val="18"/>
                <w:szCs w:val="18"/>
                <w:lang w:eastAsia="en-NZ"/>
              </w:rPr>
            </w:pPr>
            <w:r w:rsidRPr="009A4938">
              <w:rPr>
                <w:sz w:val="18"/>
                <w:szCs w:val="18"/>
                <w:lang w:eastAsia="en-NZ"/>
              </w:rPr>
              <w:t>134,021</w:t>
            </w:r>
          </w:p>
        </w:tc>
        <w:tc>
          <w:tcPr>
            <w:tcW w:w="868" w:type="dxa"/>
            <w:tcBorders>
              <w:left w:val="single" w:sz="4" w:space="0" w:color="auto"/>
              <w:right w:val="single" w:sz="4" w:space="0" w:color="auto"/>
            </w:tcBorders>
            <w:shd w:val="clear" w:color="000000" w:fill="FFB55B"/>
            <w:noWrap/>
            <w:vAlign w:val="bottom"/>
            <w:hideMark/>
          </w:tcPr>
          <w:p w:rsidR="00ED105B" w:rsidRPr="009A4938" w:rsidRDefault="00ED105B" w:rsidP="00ED105B">
            <w:pPr>
              <w:spacing w:before="0" w:after="40" w:line="240" w:lineRule="auto"/>
              <w:jc w:val="right"/>
              <w:rPr>
                <w:sz w:val="18"/>
                <w:szCs w:val="18"/>
                <w:lang w:eastAsia="en-NZ"/>
              </w:rPr>
            </w:pPr>
            <w:r w:rsidRPr="009A4938">
              <w:rPr>
                <w:sz w:val="18"/>
                <w:szCs w:val="18"/>
                <w:lang w:eastAsia="en-NZ"/>
              </w:rPr>
              <w:t>7.49%</w:t>
            </w:r>
          </w:p>
        </w:tc>
        <w:tc>
          <w:tcPr>
            <w:tcW w:w="1532" w:type="dxa"/>
            <w:tcBorders>
              <w:left w:val="nil"/>
              <w:right w:val="nil"/>
            </w:tcBorders>
            <w:shd w:val="clear" w:color="000000" w:fill="FFFFFF"/>
            <w:noWrap/>
            <w:vAlign w:val="bottom"/>
            <w:hideMark/>
          </w:tcPr>
          <w:p w:rsidR="00ED105B" w:rsidRPr="009A4938" w:rsidRDefault="00ED105B" w:rsidP="00ED105B">
            <w:pPr>
              <w:spacing w:before="0" w:after="40" w:line="240" w:lineRule="auto"/>
              <w:rPr>
                <w:rFonts w:ascii="Arial" w:hAnsi="Arial" w:cs="Arial"/>
                <w:sz w:val="18"/>
                <w:szCs w:val="18"/>
                <w:lang w:eastAsia="en-NZ"/>
              </w:rPr>
            </w:pPr>
            <w:r w:rsidRPr="009A4938">
              <w:rPr>
                <w:rFonts w:ascii="Arial" w:hAnsi="Arial" w:cs="Arial"/>
                <w:sz w:val="18"/>
                <w:szCs w:val="18"/>
                <w:lang w:eastAsia="en-NZ"/>
              </w:rPr>
              <w:t>|||||||</w:t>
            </w:r>
          </w:p>
        </w:tc>
        <w:tc>
          <w:tcPr>
            <w:tcW w:w="0" w:type="auto"/>
            <w:tcBorders>
              <w:left w:val="nil"/>
              <w:right w:val="single" w:sz="4" w:space="0" w:color="auto"/>
            </w:tcBorders>
            <w:shd w:val="clear" w:color="auto" w:fill="auto"/>
            <w:noWrap/>
            <w:vAlign w:val="bottom"/>
            <w:hideMark/>
          </w:tcPr>
          <w:p w:rsidR="00ED105B" w:rsidRPr="009A4938" w:rsidRDefault="00ED105B" w:rsidP="00ED105B">
            <w:pPr>
              <w:spacing w:before="0" w:after="40" w:line="240" w:lineRule="auto"/>
              <w:rPr>
                <w:color w:val="000000"/>
                <w:sz w:val="18"/>
                <w:szCs w:val="18"/>
                <w:lang w:eastAsia="en-NZ"/>
              </w:rPr>
            </w:pPr>
            <w:r w:rsidRPr="009A4938">
              <w:rPr>
                <w:color w:val="000000"/>
                <w:sz w:val="18"/>
                <w:szCs w:val="18"/>
                <w:lang w:eastAsia="en-NZ"/>
              </w:rPr>
              <w:t>Good</w:t>
            </w:r>
          </w:p>
        </w:tc>
      </w:tr>
      <w:tr w:rsidR="00ED105B" w:rsidRPr="009A4938" w:rsidTr="00ED105B">
        <w:tc>
          <w:tcPr>
            <w:tcW w:w="0" w:type="auto"/>
            <w:tcBorders>
              <w:left w:val="single" w:sz="4" w:space="0" w:color="auto"/>
              <w:right w:val="single" w:sz="4" w:space="0" w:color="000000"/>
            </w:tcBorders>
            <w:shd w:val="clear" w:color="auto" w:fill="auto"/>
            <w:vAlign w:val="center"/>
            <w:hideMark/>
          </w:tcPr>
          <w:p w:rsidR="00ED105B" w:rsidRPr="009A4938" w:rsidRDefault="00ED105B" w:rsidP="00ED105B">
            <w:pPr>
              <w:spacing w:before="0" w:after="40" w:line="240" w:lineRule="auto"/>
              <w:rPr>
                <w:b/>
                <w:bCs/>
                <w:sz w:val="18"/>
                <w:szCs w:val="18"/>
                <w:lang w:eastAsia="en-NZ"/>
              </w:rPr>
            </w:pPr>
          </w:p>
        </w:tc>
        <w:tc>
          <w:tcPr>
            <w:tcW w:w="3307" w:type="dxa"/>
            <w:tcBorders>
              <w:left w:val="single" w:sz="4" w:space="0" w:color="000000"/>
              <w:right w:val="single" w:sz="4" w:space="0" w:color="000000"/>
            </w:tcBorders>
            <w:shd w:val="clear" w:color="auto" w:fill="auto"/>
            <w:noWrap/>
            <w:vAlign w:val="bottom"/>
            <w:hideMark/>
          </w:tcPr>
          <w:p w:rsidR="00ED105B" w:rsidRPr="009A4938" w:rsidRDefault="00ED105B" w:rsidP="00ED105B">
            <w:pPr>
              <w:spacing w:before="0" w:after="40" w:line="240" w:lineRule="auto"/>
              <w:rPr>
                <w:sz w:val="18"/>
                <w:szCs w:val="18"/>
                <w:lang w:eastAsia="en-NZ"/>
              </w:rPr>
            </w:pPr>
            <w:proofErr w:type="spellStart"/>
            <w:r w:rsidRPr="009A4938">
              <w:rPr>
                <w:sz w:val="18"/>
                <w:szCs w:val="18"/>
                <w:lang w:eastAsia="en-NZ"/>
              </w:rPr>
              <w:t>8a</w:t>
            </w:r>
            <w:proofErr w:type="spellEnd"/>
            <w:r w:rsidRPr="009A4938">
              <w:rPr>
                <w:sz w:val="18"/>
                <w:szCs w:val="18"/>
                <w:lang w:eastAsia="en-NZ"/>
              </w:rPr>
              <w:t>: Non-consumption expenditure</w:t>
            </w:r>
          </w:p>
        </w:tc>
        <w:tc>
          <w:tcPr>
            <w:tcW w:w="0" w:type="auto"/>
            <w:tcBorders>
              <w:left w:val="nil"/>
              <w:right w:val="single" w:sz="4" w:space="0" w:color="auto"/>
            </w:tcBorders>
            <w:shd w:val="clear" w:color="auto" w:fill="auto"/>
            <w:noWrap/>
            <w:vAlign w:val="bottom"/>
            <w:hideMark/>
          </w:tcPr>
          <w:p w:rsidR="00ED105B" w:rsidRPr="009A4938" w:rsidRDefault="00ED105B" w:rsidP="00ED105B">
            <w:pPr>
              <w:spacing w:before="0" w:after="40" w:line="240" w:lineRule="auto"/>
              <w:jc w:val="right"/>
              <w:rPr>
                <w:sz w:val="18"/>
                <w:szCs w:val="18"/>
                <w:lang w:eastAsia="en-NZ"/>
              </w:rPr>
            </w:pPr>
            <w:r w:rsidRPr="009A4938">
              <w:rPr>
                <w:sz w:val="18"/>
                <w:szCs w:val="18"/>
                <w:lang w:eastAsia="en-NZ"/>
              </w:rPr>
              <w:t>181,652</w:t>
            </w:r>
          </w:p>
        </w:tc>
        <w:tc>
          <w:tcPr>
            <w:tcW w:w="868" w:type="dxa"/>
            <w:tcBorders>
              <w:left w:val="single" w:sz="4" w:space="0" w:color="auto"/>
              <w:right w:val="single" w:sz="4" w:space="0" w:color="auto"/>
            </w:tcBorders>
            <w:shd w:val="clear" w:color="000000" w:fill="FFB55B"/>
            <w:noWrap/>
            <w:vAlign w:val="bottom"/>
            <w:hideMark/>
          </w:tcPr>
          <w:p w:rsidR="00ED105B" w:rsidRPr="009A4938" w:rsidRDefault="00ED105B" w:rsidP="00ED105B">
            <w:pPr>
              <w:spacing w:before="0" w:after="40" w:line="240" w:lineRule="auto"/>
              <w:jc w:val="right"/>
              <w:rPr>
                <w:sz w:val="18"/>
                <w:szCs w:val="18"/>
                <w:lang w:eastAsia="en-NZ"/>
              </w:rPr>
            </w:pPr>
            <w:r w:rsidRPr="009A4938">
              <w:rPr>
                <w:sz w:val="18"/>
                <w:szCs w:val="18"/>
                <w:lang w:eastAsia="en-NZ"/>
              </w:rPr>
              <w:t>6.37%</w:t>
            </w:r>
          </w:p>
        </w:tc>
        <w:tc>
          <w:tcPr>
            <w:tcW w:w="1532" w:type="dxa"/>
            <w:tcBorders>
              <w:left w:val="nil"/>
              <w:right w:val="nil"/>
            </w:tcBorders>
            <w:shd w:val="clear" w:color="000000" w:fill="FFFFFF"/>
            <w:noWrap/>
            <w:vAlign w:val="bottom"/>
            <w:hideMark/>
          </w:tcPr>
          <w:p w:rsidR="00ED105B" w:rsidRPr="009A4938" w:rsidRDefault="00ED105B" w:rsidP="00ED105B">
            <w:pPr>
              <w:spacing w:before="0" w:after="40" w:line="240" w:lineRule="auto"/>
              <w:rPr>
                <w:rFonts w:ascii="Arial" w:hAnsi="Arial" w:cs="Arial"/>
                <w:sz w:val="18"/>
                <w:szCs w:val="18"/>
                <w:lang w:eastAsia="en-NZ"/>
              </w:rPr>
            </w:pPr>
            <w:r w:rsidRPr="009A4938">
              <w:rPr>
                <w:rFonts w:ascii="Arial" w:hAnsi="Arial" w:cs="Arial"/>
                <w:sz w:val="18"/>
                <w:szCs w:val="18"/>
                <w:lang w:eastAsia="en-NZ"/>
              </w:rPr>
              <w:t>||||||</w:t>
            </w:r>
          </w:p>
        </w:tc>
        <w:tc>
          <w:tcPr>
            <w:tcW w:w="0" w:type="auto"/>
            <w:tcBorders>
              <w:left w:val="nil"/>
              <w:right w:val="single" w:sz="4" w:space="0" w:color="auto"/>
            </w:tcBorders>
            <w:shd w:val="clear" w:color="auto" w:fill="auto"/>
            <w:noWrap/>
            <w:vAlign w:val="bottom"/>
            <w:hideMark/>
          </w:tcPr>
          <w:p w:rsidR="00ED105B" w:rsidRPr="009A4938" w:rsidRDefault="00ED105B" w:rsidP="00ED105B">
            <w:pPr>
              <w:spacing w:before="0" w:after="40" w:line="240" w:lineRule="auto"/>
              <w:rPr>
                <w:color w:val="000000"/>
                <w:sz w:val="18"/>
                <w:szCs w:val="18"/>
                <w:lang w:eastAsia="en-NZ"/>
              </w:rPr>
            </w:pPr>
            <w:r w:rsidRPr="009A4938">
              <w:rPr>
                <w:color w:val="000000"/>
                <w:sz w:val="18"/>
                <w:szCs w:val="18"/>
                <w:lang w:eastAsia="en-NZ"/>
              </w:rPr>
              <w:t>Good</w:t>
            </w:r>
          </w:p>
        </w:tc>
      </w:tr>
      <w:tr w:rsidR="00ED105B" w:rsidRPr="009A4938" w:rsidTr="00ED105B">
        <w:tc>
          <w:tcPr>
            <w:tcW w:w="0" w:type="auto"/>
            <w:tcBorders>
              <w:left w:val="single" w:sz="4" w:space="0" w:color="auto"/>
              <w:bottom w:val="single" w:sz="4" w:space="0" w:color="000000"/>
              <w:right w:val="single" w:sz="4" w:space="0" w:color="000000"/>
            </w:tcBorders>
            <w:shd w:val="clear" w:color="auto" w:fill="auto"/>
            <w:vAlign w:val="center"/>
            <w:hideMark/>
          </w:tcPr>
          <w:p w:rsidR="00ED105B" w:rsidRPr="009A4938" w:rsidRDefault="00ED105B" w:rsidP="00ED105B">
            <w:pPr>
              <w:spacing w:before="0" w:after="40" w:line="240" w:lineRule="auto"/>
              <w:rPr>
                <w:b/>
                <w:bCs/>
                <w:sz w:val="18"/>
                <w:szCs w:val="18"/>
                <w:lang w:eastAsia="en-NZ"/>
              </w:rPr>
            </w:pPr>
          </w:p>
        </w:tc>
        <w:tc>
          <w:tcPr>
            <w:tcW w:w="3307" w:type="dxa"/>
            <w:tcBorders>
              <w:left w:val="single" w:sz="4" w:space="0" w:color="000000"/>
              <w:bottom w:val="single" w:sz="4" w:space="0" w:color="auto"/>
              <w:right w:val="single" w:sz="4" w:space="0" w:color="000000"/>
            </w:tcBorders>
            <w:shd w:val="clear" w:color="auto" w:fill="auto"/>
            <w:noWrap/>
            <w:vAlign w:val="bottom"/>
            <w:hideMark/>
          </w:tcPr>
          <w:p w:rsidR="00ED105B" w:rsidRPr="009A4938" w:rsidRDefault="00ED105B" w:rsidP="00ED105B">
            <w:pPr>
              <w:spacing w:before="0" w:after="40" w:line="240" w:lineRule="auto"/>
              <w:rPr>
                <w:sz w:val="18"/>
                <w:szCs w:val="18"/>
                <w:lang w:eastAsia="en-NZ"/>
              </w:rPr>
            </w:pPr>
            <w:proofErr w:type="spellStart"/>
            <w:r w:rsidRPr="009A4938">
              <w:rPr>
                <w:sz w:val="18"/>
                <w:szCs w:val="18"/>
                <w:lang w:eastAsia="en-NZ"/>
              </w:rPr>
              <w:t>9a</w:t>
            </w:r>
            <w:proofErr w:type="spellEnd"/>
            <w:r w:rsidRPr="009A4938">
              <w:rPr>
                <w:sz w:val="18"/>
                <w:szCs w:val="18"/>
                <w:lang w:eastAsia="en-NZ"/>
              </w:rPr>
              <w:t>: Gifts received (including remittances)</w:t>
            </w:r>
          </w:p>
        </w:tc>
        <w:tc>
          <w:tcPr>
            <w:tcW w:w="0" w:type="auto"/>
            <w:tcBorders>
              <w:left w:val="nil"/>
              <w:bottom w:val="single" w:sz="4" w:space="0" w:color="auto"/>
              <w:right w:val="single" w:sz="4" w:space="0" w:color="auto"/>
            </w:tcBorders>
            <w:shd w:val="clear" w:color="auto" w:fill="auto"/>
            <w:noWrap/>
            <w:vAlign w:val="bottom"/>
            <w:hideMark/>
          </w:tcPr>
          <w:p w:rsidR="00ED105B" w:rsidRPr="009A4938" w:rsidRDefault="00ED105B" w:rsidP="00ED105B">
            <w:pPr>
              <w:spacing w:before="0" w:after="40" w:line="240" w:lineRule="auto"/>
              <w:jc w:val="right"/>
              <w:rPr>
                <w:sz w:val="18"/>
                <w:szCs w:val="18"/>
                <w:lang w:eastAsia="en-NZ"/>
              </w:rPr>
            </w:pPr>
            <w:r w:rsidRPr="009A4938">
              <w:rPr>
                <w:sz w:val="18"/>
                <w:szCs w:val="18"/>
                <w:lang w:eastAsia="en-NZ"/>
              </w:rPr>
              <w:t>29,382</w:t>
            </w:r>
          </w:p>
        </w:tc>
        <w:tc>
          <w:tcPr>
            <w:tcW w:w="868" w:type="dxa"/>
            <w:tcBorders>
              <w:left w:val="single" w:sz="4" w:space="0" w:color="auto"/>
              <w:bottom w:val="single" w:sz="4" w:space="0" w:color="auto"/>
              <w:right w:val="single" w:sz="4" w:space="0" w:color="auto"/>
            </w:tcBorders>
            <w:shd w:val="clear" w:color="000000" w:fill="FFB55B"/>
            <w:noWrap/>
            <w:vAlign w:val="bottom"/>
            <w:hideMark/>
          </w:tcPr>
          <w:p w:rsidR="00ED105B" w:rsidRPr="009A4938" w:rsidRDefault="00ED105B" w:rsidP="00ED105B">
            <w:pPr>
              <w:spacing w:before="0" w:after="40" w:line="240" w:lineRule="auto"/>
              <w:jc w:val="right"/>
              <w:rPr>
                <w:sz w:val="18"/>
                <w:szCs w:val="18"/>
                <w:lang w:eastAsia="en-NZ"/>
              </w:rPr>
            </w:pPr>
            <w:r w:rsidRPr="009A4938">
              <w:rPr>
                <w:sz w:val="18"/>
                <w:szCs w:val="18"/>
                <w:lang w:eastAsia="en-NZ"/>
              </w:rPr>
              <w:t>15.52%</w:t>
            </w:r>
          </w:p>
        </w:tc>
        <w:tc>
          <w:tcPr>
            <w:tcW w:w="1532" w:type="dxa"/>
            <w:tcBorders>
              <w:left w:val="nil"/>
              <w:bottom w:val="single" w:sz="4" w:space="0" w:color="auto"/>
              <w:right w:val="nil"/>
            </w:tcBorders>
            <w:shd w:val="clear" w:color="000000" w:fill="FFFFFF"/>
            <w:noWrap/>
            <w:vAlign w:val="bottom"/>
            <w:hideMark/>
          </w:tcPr>
          <w:p w:rsidR="00ED105B" w:rsidRPr="009A4938" w:rsidRDefault="00ED105B" w:rsidP="00ED105B">
            <w:pPr>
              <w:spacing w:before="0" w:after="40" w:line="240" w:lineRule="auto"/>
              <w:rPr>
                <w:rFonts w:ascii="Arial" w:hAnsi="Arial" w:cs="Arial"/>
                <w:sz w:val="18"/>
                <w:szCs w:val="18"/>
                <w:lang w:eastAsia="en-NZ"/>
              </w:rPr>
            </w:pPr>
            <w:r w:rsidRPr="009A4938">
              <w:rPr>
                <w:rFonts w:ascii="Arial" w:hAnsi="Arial" w:cs="Arial"/>
                <w:sz w:val="18"/>
                <w:szCs w:val="18"/>
                <w:lang w:eastAsia="en-NZ"/>
              </w:rPr>
              <w:t>|||||||||||||||</w:t>
            </w:r>
          </w:p>
        </w:tc>
        <w:tc>
          <w:tcPr>
            <w:tcW w:w="0" w:type="auto"/>
            <w:tcBorders>
              <w:left w:val="nil"/>
              <w:bottom w:val="single" w:sz="4" w:space="0" w:color="auto"/>
              <w:right w:val="single" w:sz="4" w:space="0" w:color="auto"/>
            </w:tcBorders>
            <w:shd w:val="clear" w:color="auto" w:fill="auto"/>
            <w:noWrap/>
            <w:vAlign w:val="bottom"/>
            <w:hideMark/>
          </w:tcPr>
          <w:p w:rsidR="00ED105B" w:rsidRPr="009A4938" w:rsidRDefault="00ED105B" w:rsidP="00ED105B">
            <w:pPr>
              <w:spacing w:before="0" w:after="40" w:line="240" w:lineRule="auto"/>
              <w:rPr>
                <w:color w:val="000000"/>
                <w:sz w:val="18"/>
                <w:szCs w:val="18"/>
                <w:lang w:eastAsia="en-NZ"/>
              </w:rPr>
            </w:pPr>
            <w:r w:rsidRPr="009A4938">
              <w:rPr>
                <w:color w:val="000000"/>
                <w:sz w:val="18"/>
                <w:szCs w:val="18"/>
                <w:lang w:eastAsia="en-NZ"/>
              </w:rPr>
              <w:t>Usable</w:t>
            </w:r>
          </w:p>
        </w:tc>
      </w:tr>
      <w:tr w:rsidR="00ED105B" w:rsidRPr="009A4938" w:rsidTr="00ED105B">
        <w:tc>
          <w:tcPr>
            <w:tcW w:w="0" w:type="auto"/>
            <w:tcBorders>
              <w:left w:val="single" w:sz="4" w:space="0" w:color="auto"/>
              <w:right w:val="single" w:sz="4" w:space="0" w:color="000000"/>
            </w:tcBorders>
            <w:shd w:val="clear" w:color="auto" w:fill="auto"/>
            <w:vAlign w:val="center"/>
            <w:hideMark/>
          </w:tcPr>
          <w:p w:rsidR="00ED105B" w:rsidRPr="009A4938" w:rsidRDefault="00ED105B" w:rsidP="00ED105B">
            <w:pPr>
              <w:spacing w:before="0" w:after="40" w:line="240" w:lineRule="auto"/>
              <w:rPr>
                <w:b/>
                <w:bCs/>
                <w:sz w:val="18"/>
                <w:szCs w:val="18"/>
                <w:lang w:eastAsia="en-NZ"/>
              </w:rPr>
            </w:pPr>
            <w:r w:rsidRPr="009A4938">
              <w:rPr>
                <w:b/>
                <w:bCs/>
                <w:sz w:val="18"/>
                <w:szCs w:val="18"/>
                <w:lang w:eastAsia="en-NZ"/>
              </w:rPr>
              <w:t>Urban</w:t>
            </w:r>
          </w:p>
        </w:tc>
        <w:tc>
          <w:tcPr>
            <w:tcW w:w="3307" w:type="dxa"/>
            <w:tcBorders>
              <w:left w:val="single" w:sz="4" w:space="0" w:color="000000"/>
              <w:right w:val="single" w:sz="4" w:space="0" w:color="000000"/>
            </w:tcBorders>
            <w:shd w:val="clear" w:color="auto" w:fill="auto"/>
            <w:noWrap/>
            <w:vAlign w:val="bottom"/>
            <w:hideMark/>
          </w:tcPr>
          <w:p w:rsidR="00ED105B" w:rsidRPr="00ED105B" w:rsidRDefault="00ED105B" w:rsidP="00ED105B">
            <w:pPr>
              <w:spacing w:before="0" w:after="40" w:line="240" w:lineRule="auto"/>
              <w:rPr>
                <w:sz w:val="18"/>
                <w:szCs w:val="18"/>
                <w:lang w:eastAsia="en-NZ"/>
              </w:rPr>
            </w:pPr>
            <w:r w:rsidRPr="00ED105B">
              <w:rPr>
                <w:sz w:val="18"/>
                <w:szCs w:val="18"/>
                <w:lang w:eastAsia="en-NZ"/>
              </w:rPr>
              <w:t>Total Household Expenditure</w:t>
            </w:r>
          </w:p>
        </w:tc>
        <w:tc>
          <w:tcPr>
            <w:tcW w:w="0" w:type="auto"/>
            <w:tcBorders>
              <w:left w:val="nil"/>
              <w:right w:val="single" w:sz="4" w:space="0" w:color="auto"/>
            </w:tcBorders>
            <w:shd w:val="clear" w:color="auto" w:fill="auto"/>
            <w:noWrap/>
            <w:vAlign w:val="bottom"/>
            <w:hideMark/>
          </w:tcPr>
          <w:p w:rsidR="00ED105B" w:rsidRPr="00ED105B" w:rsidRDefault="00ED105B" w:rsidP="00ED105B">
            <w:pPr>
              <w:spacing w:before="0" w:after="40" w:line="240" w:lineRule="auto"/>
              <w:jc w:val="right"/>
              <w:rPr>
                <w:sz w:val="18"/>
                <w:szCs w:val="18"/>
                <w:lang w:eastAsia="en-NZ"/>
              </w:rPr>
            </w:pPr>
            <w:r w:rsidRPr="00ED105B">
              <w:rPr>
                <w:sz w:val="18"/>
                <w:szCs w:val="18"/>
                <w:lang w:eastAsia="en-NZ"/>
              </w:rPr>
              <w:t>1,207,567</w:t>
            </w:r>
          </w:p>
        </w:tc>
        <w:tc>
          <w:tcPr>
            <w:tcW w:w="868" w:type="dxa"/>
            <w:tcBorders>
              <w:left w:val="single" w:sz="4" w:space="0" w:color="auto"/>
              <w:right w:val="single" w:sz="4" w:space="0" w:color="auto"/>
            </w:tcBorders>
            <w:shd w:val="clear" w:color="000000" w:fill="FFB55B"/>
            <w:noWrap/>
            <w:vAlign w:val="bottom"/>
            <w:hideMark/>
          </w:tcPr>
          <w:p w:rsidR="00ED105B" w:rsidRPr="00ED105B" w:rsidRDefault="00ED105B" w:rsidP="00ED105B">
            <w:pPr>
              <w:spacing w:before="0" w:after="40" w:line="240" w:lineRule="auto"/>
              <w:jc w:val="right"/>
              <w:rPr>
                <w:sz w:val="18"/>
                <w:szCs w:val="18"/>
                <w:lang w:eastAsia="en-NZ"/>
              </w:rPr>
            </w:pPr>
            <w:r w:rsidRPr="00ED105B">
              <w:rPr>
                <w:sz w:val="18"/>
                <w:szCs w:val="18"/>
                <w:lang w:eastAsia="en-NZ"/>
              </w:rPr>
              <w:t>4.69%</w:t>
            </w:r>
          </w:p>
        </w:tc>
        <w:tc>
          <w:tcPr>
            <w:tcW w:w="1532" w:type="dxa"/>
            <w:tcBorders>
              <w:left w:val="nil"/>
              <w:right w:val="nil"/>
            </w:tcBorders>
            <w:shd w:val="clear" w:color="000000" w:fill="FFFFFF"/>
            <w:noWrap/>
            <w:vAlign w:val="bottom"/>
            <w:hideMark/>
          </w:tcPr>
          <w:p w:rsidR="00ED105B" w:rsidRPr="009A4938" w:rsidRDefault="00ED105B" w:rsidP="00ED105B">
            <w:pPr>
              <w:spacing w:before="0" w:after="40" w:line="240" w:lineRule="auto"/>
              <w:rPr>
                <w:rFonts w:ascii="Arial" w:hAnsi="Arial" w:cs="Arial"/>
                <w:sz w:val="18"/>
                <w:szCs w:val="18"/>
                <w:lang w:eastAsia="en-NZ"/>
              </w:rPr>
            </w:pPr>
            <w:r w:rsidRPr="009A4938">
              <w:rPr>
                <w:rFonts w:ascii="Arial" w:hAnsi="Arial" w:cs="Arial"/>
                <w:sz w:val="18"/>
                <w:szCs w:val="18"/>
                <w:lang w:eastAsia="en-NZ"/>
              </w:rPr>
              <w:t>||||</w:t>
            </w:r>
          </w:p>
        </w:tc>
        <w:tc>
          <w:tcPr>
            <w:tcW w:w="0" w:type="auto"/>
            <w:tcBorders>
              <w:left w:val="nil"/>
              <w:right w:val="single" w:sz="4" w:space="0" w:color="auto"/>
            </w:tcBorders>
            <w:shd w:val="clear" w:color="auto" w:fill="auto"/>
            <w:noWrap/>
            <w:vAlign w:val="bottom"/>
            <w:hideMark/>
          </w:tcPr>
          <w:p w:rsidR="00ED105B" w:rsidRPr="009A4938" w:rsidRDefault="00ED105B" w:rsidP="00ED105B">
            <w:pPr>
              <w:spacing w:before="0" w:after="40" w:line="240" w:lineRule="auto"/>
              <w:rPr>
                <w:color w:val="000000"/>
                <w:sz w:val="18"/>
                <w:szCs w:val="18"/>
                <w:lang w:eastAsia="en-NZ"/>
              </w:rPr>
            </w:pPr>
            <w:r w:rsidRPr="009A4938">
              <w:rPr>
                <w:color w:val="000000"/>
                <w:sz w:val="18"/>
                <w:szCs w:val="18"/>
                <w:lang w:eastAsia="en-NZ"/>
              </w:rPr>
              <w:t>Very good</w:t>
            </w:r>
          </w:p>
        </w:tc>
      </w:tr>
      <w:tr w:rsidR="00ED105B" w:rsidRPr="009A4938" w:rsidTr="00ED105B">
        <w:tc>
          <w:tcPr>
            <w:tcW w:w="0" w:type="auto"/>
            <w:tcBorders>
              <w:left w:val="single" w:sz="4" w:space="0" w:color="auto"/>
              <w:right w:val="single" w:sz="4" w:space="0" w:color="000000"/>
            </w:tcBorders>
            <w:shd w:val="clear" w:color="auto" w:fill="auto"/>
            <w:vAlign w:val="center"/>
            <w:hideMark/>
          </w:tcPr>
          <w:p w:rsidR="00ED105B" w:rsidRPr="009A4938" w:rsidRDefault="00ED105B" w:rsidP="00ED105B">
            <w:pPr>
              <w:spacing w:before="0" w:after="40" w:line="240" w:lineRule="auto"/>
              <w:rPr>
                <w:b/>
                <w:bCs/>
                <w:sz w:val="18"/>
                <w:szCs w:val="18"/>
                <w:lang w:eastAsia="en-NZ"/>
              </w:rPr>
            </w:pPr>
          </w:p>
        </w:tc>
        <w:tc>
          <w:tcPr>
            <w:tcW w:w="3307" w:type="dxa"/>
            <w:tcBorders>
              <w:left w:val="single" w:sz="4" w:space="0" w:color="000000"/>
              <w:right w:val="single" w:sz="4" w:space="0" w:color="000000"/>
            </w:tcBorders>
            <w:shd w:val="clear" w:color="auto" w:fill="auto"/>
            <w:noWrap/>
            <w:vAlign w:val="bottom"/>
            <w:hideMark/>
          </w:tcPr>
          <w:p w:rsidR="00ED105B" w:rsidRPr="009A4938" w:rsidRDefault="00ED105B" w:rsidP="00ED105B">
            <w:pPr>
              <w:spacing w:before="0" w:after="40" w:line="240" w:lineRule="auto"/>
              <w:rPr>
                <w:sz w:val="18"/>
                <w:szCs w:val="18"/>
                <w:lang w:eastAsia="en-NZ"/>
              </w:rPr>
            </w:pPr>
            <w:r w:rsidRPr="009A4938">
              <w:rPr>
                <w:sz w:val="18"/>
                <w:szCs w:val="18"/>
                <w:lang w:eastAsia="en-NZ"/>
              </w:rPr>
              <w:t>1 Household Food</w:t>
            </w:r>
          </w:p>
        </w:tc>
        <w:tc>
          <w:tcPr>
            <w:tcW w:w="0" w:type="auto"/>
            <w:tcBorders>
              <w:left w:val="nil"/>
              <w:right w:val="single" w:sz="4" w:space="0" w:color="auto"/>
            </w:tcBorders>
            <w:shd w:val="clear" w:color="auto" w:fill="auto"/>
            <w:noWrap/>
            <w:vAlign w:val="bottom"/>
            <w:hideMark/>
          </w:tcPr>
          <w:p w:rsidR="00ED105B" w:rsidRPr="009A4938" w:rsidRDefault="00ED105B" w:rsidP="00ED105B">
            <w:pPr>
              <w:spacing w:before="0" w:after="40" w:line="240" w:lineRule="auto"/>
              <w:jc w:val="right"/>
              <w:rPr>
                <w:sz w:val="18"/>
                <w:szCs w:val="18"/>
                <w:lang w:eastAsia="en-NZ"/>
              </w:rPr>
            </w:pPr>
            <w:r w:rsidRPr="009A4938">
              <w:rPr>
                <w:sz w:val="18"/>
                <w:szCs w:val="18"/>
                <w:lang w:eastAsia="en-NZ"/>
              </w:rPr>
              <w:t>515,223</w:t>
            </w:r>
          </w:p>
        </w:tc>
        <w:tc>
          <w:tcPr>
            <w:tcW w:w="868" w:type="dxa"/>
            <w:tcBorders>
              <w:left w:val="single" w:sz="4" w:space="0" w:color="auto"/>
              <w:right w:val="single" w:sz="4" w:space="0" w:color="auto"/>
            </w:tcBorders>
            <w:shd w:val="clear" w:color="000000" w:fill="FFB55B"/>
            <w:noWrap/>
            <w:vAlign w:val="bottom"/>
            <w:hideMark/>
          </w:tcPr>
          <w:p w:rsidR="00ED105B" w:rsidRPr="009A4938" w:rsidRDefault="00ED105B" w:rsidP="00ED105B">
            <w:pPr>
              <w:spacing w:before="0" w:after="40" w:line="240" w:lineRule="auto"/>
              <w:jc w:val="right"/>
              <w:rPr>
                <w:sz w:val="18"/>
                <w:szCs w:val="18"/>
                <w:lang w:eastAsia="en-NZ"/>
              </w:rPr>
            </w:pPr>
            <w:r w:rsidRPr="009A4938">
              <w:rPr>
                <w:sz w:val="18"/>
                <w:szCs w:val="18"/>
                <w:lang w:eastAsia="en-NZ"/>
              </w:rPr>
              <w:t>4.80%</w:t>
            </w:r>
          </w:p>
        </w:tc>
        <w:tc>
          <w:tcPr>
            <w:tcW w:w="1532" w:type="dxa"/>
            <w:tcBorders>
              <w:left w:val="nil"/>
              <w:right w:val="nil"/>
            </w:tcBorders>
            <w:shd w:val="clear" w:color="000000" w:fill="FFFFFF"/>
            <w:noWrap/>
            <w:vAlign w:val="bottom"/>
            <w:hideMark/>
          </w:tcPr>
          <w:p w:rsidR="00ED105B" w:rsidRPr="009A4938" w:rsidRDefault="00ED105B" w:rsidP="00ED105B">
            <w:pPr>
              <w:spacing w:before="0" w:after="40" w:line="240" w:lineRule="auto"/>
              <w:rPr>
                <w:rFonts w:ascii="Arial" w:hAnsi="Arial" w:cs="Arial"/>
                <w:sz w:val="18"/>
                <w:szCs w:val="18"/>
                <w:lang w:eastAsia="en-NZ"/>
              </w:rPr>
            </w:pPr>
            <w:r w:rsidRPr="009A4938">
              <w:rPr>
                <w:rFonts w:ascii="Arial" w:hAnsi="Arial" w:cs="Arial"/>
                <w:sz w:val="18"/>
                <w:szCs w:val="18"/>
                <w:lang w:eastAsia="en-NZ"/>
              </w:rPr>
              <w:t>||||</w:t>
            </w:r>
          </w:p>
        </w:tc>
        <w:tc>
          <w:tcPr>
            <w:tcW w:w="0" w:type="auto"/>
            <w:tcBorders>
              <w:left w:val="nil"/>
              <w:right w:val="single" w:sz="4" w:space="0" w:color="auto"/>
            </w:tcBorders>
            <w:shd w:val="clear" w:color="auto" w:fill="auto"/>
            <w:noWrap/>
            <w:vAlign w:val="bottom"/>
            <w:hideMark/>
          </w:tcPr>
          <w:p w:rsidR="00ED105B" w:rsidRPr="009A4938" w:rsidRDefault="00ED105B" w:rsidP="00ED105B">
            <w:pPr>
              <w:spacing w:before="0" w:after="40" w:line="240" w:lineRule="auto"/>
              <w:rPr>
                <w:color w:val="000000"/>
                <w:sz w:val="18"/>
                <w:szCs w:val="18"/>
                <w:lang w:eastAsia="en-NZ"/>
              </w:rPr>
            </w:pPr>
            <w:r w:rsidRPr="009A4938">
              <w:rPr>
                <w:color w:val="000000"/>
                <w:sz w:val="18"/>
                <w:szCs w:val="18"/>
                <w:lang w:eastAsia="en-NZ"/>
              </w:rPr>
              <w:t>Very good</w:t>
            </w:r>
          </w:p>
        </w:tc>
      </w:tr>
      <w:tr w:rsidR="00ED105B" w:rsidRPr="009A4938" w:rsidTr="00ED105B">
        <w:tc>
          <w:tcPr>
            <w:tcW w:w="0" w:type="auto"/>
            <w:tcBorders>
              <w:left w:val="single" w:sz="4" w:space="0" w:color="auto"/>
              <w:right w:val="single" w:sz="4" w:space="0" w:color="000000"/>
            </w:tcBorders>
            <w:shd w:val="clear" w:color="auto" w:fill="auto"/>
            <w:vAlign w:val="center"/>
            <w:hideMark/>
          </w:tcPr>
          <w:p w:rsidR="00ED105B" w:rsidRPr="009A4938" w:rsidRDefault="00ED105B" w:rsidP="00ED105B">
            <w:pPr>
              <w:spacing w:before="0" w:after="40" w:line="240" w:lineRule="auto"/>
              <w:rPr>
                <w:b/>
                <w:bCs/>
                <w:sz w:val="18"/>
                <w:szCs w:val="18"/>
                <w:lang w:eastAsia="en-NZ"/>
              </w:rPr>
            </w:pPr>
          </w:p>
        </w:tc>
        <w:tc>
          <w:tcPr>
            <w:tcW w:w="3307" w:type="dxa"/>
            <w:tcBorders>
              <w:left w:val="single" w:sz="4" w:space="0" w:color="000000"/>
              <w:right w:val="single" w:sz="4" w:space="0" w:color="000000"/>
            </w:tcBorders>
            <w:shd w:val="clear" w:color="auto" w:fill="auto"/>
            <w:noWrap/>
            <w:vAlign w:val="bottom"/>
            <w:hideMark/>
          </w:tcPr>
          <w:p w:rsidR="00ED105B" w:rsidRPr="009A4938" w:rsidRDefault="00ED105B" w:rsidP="00ED105B">
            <w:pPr>
              <w:spacing w:before="0" w:after="40" w:line="240" w:lineRule="auto"/>
              <w:rPr>
                <w:sz w:val="18"/>
                <w:szCs w:val="18"/>
                <w:lang w:eastAsia="en-NZ"/>
              </w:rPr>
            </w:pPr>
            <w:r w:rsidRPr="009A4938">
              <w:rPr>
                <w:sz w:val="18"/>
                <w:szCs w:val="18"/>
                <w:lang w:eastAsia="en-NZ"/>
              </w:rPr>
              <w:t>2 Housing</w:t>
            </w:r>
          </w:p>
        </w:tc>
        <w:tc>
          <w:tcPr>
            <w:tcW w:w="0" w:type="auto"/>
            <w:tcBorders>
              <w:left w:val="nil"/>
              <w:right w:val="single" w:sz="4" w:space="0" w:color="auto"/>
            </w:tcBorders>
            <w:shd w:val="clear" w:color="auto" w:fill="auto"/>
            <w:noWrap/>
            <w:vAlign w:val="bottom"/>
            <w:hideMark/>
          </w:tcPr>
          <w:p w:rsidR="00ED105B" w:rsidRPr="009A4938" w:rsidRDefault="00ED105B" w:rsidP="00ED105B">
            <w:pPr>
              <w:spacing w:before="0" w:after="40" w:line="240" w:lineRule="auto"/>
              <w:jc w:val="right"/>
              <w:rPr>
                <w:sz w:val="18"/>
                <w:szCs w:val="18"/>
                <w:lang w:eastAsia="en-NZ"/>
              </w:rPr>
            </w:pPr>
            <w:r w:rsidRPr="009A4938">
              <w:rPr>
                <w:sz w:val="18"/>
                <w:szCs w:val="18"/>
                <w:lang w:eastAsia="en-NZ"/>
              </w:rPr>
              <w:t>135,758</w:t>
            </w:r>
          </w:p>
        </w:tc>
        <w:tc>
          <w:tcPr>
            <w:tcW w:w="868" w:type="dxa"/>
            <w:tcBorders>
              <w:left w:val="single" w:sz="4" w:space="0" w:color="auto"/>
              <w:right w:val="single" w:sz="4" w:space="0" w:color="auto"/>
            </w:tcBorders>
            <w:shd w:val="clear" w:color="000000" w:fill="FFB55B"/>
            <w:noWrap/>
            <w:vAlign w:val="bottom"/>
            <w:hideMark/>
          </w:tcPr>
          <w:p w:rsidR="00ED105B" w:rsidRPr="009A4938" w:rsidRDefault="00ED105B" w:rsidP="00ED105B">
            <w:pPr>
              <w:spacing w:before="0" w:after="40" w:line="240" w:lineRule="auto"/>
              <w:jc w:val="right"/>
              <w:rPr>
                <w:sz w:val="18"/>
                <w:szCs w:val="18"/>
                <w:lang w:eastAsia="en-NZ"/>
              </w:rPr>
            </w:pPr>
            <w:r w:rsidRPr="009A4938">
              <w:rPr>
                <w:sz w:val="18"/>
                <w:szCs w:val="18"/>
                <w:lang w:eastAsia="en-NZ"/>
              </w:rPr>
              <w:t>7.63%</w:t>
            </w:r>
          </w:p>
        </w:tc>
        <w:tc>
          <w:tcPr>
            <w:tcW w:w="1532" w:type="dxa"/>
            <w:tcBorders>
              <w:left w:val="nil"/>
              <w:right w:val="nil"/>
            </w:tcBorders>
            <w:shd w:val="clear" w:color="000000" w:fill="FFFFFF"/>
            <w:noWrap/>
            <w:vAlign w:val="bottom"/>
            <w:hideMark/>
          </w:tcPr>
          <w:p w:rsidR="00ED105B" w:rsidRPr="009A4938" w:rsidRDefault="00ED105B" w:rsidP="00ED105B">
            <w:pPr>
              <w:spacing w:before="0" w:after="40" w:line="240" w:lineRule="auto"/>
              <w:rPr>
                <w:rFonts w:ascii="Arial" w:hAnsi="Arial" w:cs="Arial"/>
                <w:sz w:val="18"/>
                <w:szCs w:val="18"/>
                <w:lang w:eastAsia="en-NZ"/>
              </w:rPr>
            </w:pPr>
            <w:r w:rsidRPr="009A4938">
              <w:rPr>
                <w:rFonts w:ascii="Arial" w:hAnsi="Arial" w:cs="Arial"/>
                <w:sz w:val="18"/>
                <w:szCs w:val="18"/>
                <w:lang w:eastAsia="en-NZ"/>
              </w:rPr>
              <w:t>|||||||</w:t>
            </w:r>
          </w:p>
        </w:tc>
        <w:tc>
          <w:tcPr>
            <w:tcW w:w="0" w:type="auto"/>
            <w:tcBorders>
              <w:left w:val="nil"/>
              <w:right w:val="single" w:sz="4" w:space="0" w:color="auto"/>
            </w:tcBorders>
            <w:shd w:val="clear" w:color="auto" w:fill="auto"/>
            <w:noWrap/>
            <w:vAlign w:val="bottom"/>
            <w:hideMark/>
          </w:tcPr>
          <w:p w:rsidR="00ED105B" w:rsidRPr="009A4938" w:rsidRDefault="00ED105B" w:rsidP="00ED105B">
            <w:pPr>
              <w:spacing w:before="0" w:after="40" w:line="240" w:lineRule="auto"/>
              <w:rPr>
                <w:color w:val="000000"/>
                <w:sz w:val="18"/>
                <w:szCs w:val="18"/>
                <w:lang w:eastAsia="en-NZ"/>
              </w:rPr>
            </w:pPr>
            <w:r w:rsidRPr="009A4938">
              <w:rPr>
                <w:color w:val="000000"/>
                <w:sz w:val="18"/>
                <w:szCs w:val="18"/>
                <w:lang w:eastAsia="en-NZ"/>
              </w:rPr>
              <w:t>Good</w:t>
            </w:r>
          </w:p>
        </w:tc>
      </w:tr>
      <w:tr w:rsidR="00ED105B" w:rsidRPr="009A4938" w:rsidTr="00ED105B">
        <w:tc>
          <w:tcPr>
            <w:tcW w:w="0" w:type="auto"/>
            <w:tcBorders>
              <w:left w:val="single" w:sz="4" w:space="0" w:color="auto"/>
              <w:right w:val="single" w:sz="4" w:space="0" w:color="000000"/>
            </w:tcBorders>
            <w:shd w:val="clear" w:color="auto" w:fill="auto"/>
            <w:vAlign w:val="center"/>
            <w:hideMark/>
          </w:tcPr>
          <w:p w:rsidR="00ED105B" w:rsidRPr="009A4938" w:rsidRDefault="00ED105B" w:rsidP="00ED105B">
            <w:pPr>
              <w:spacing w:before="0" w:after="40" w:line="240" w:lineRule="auto"/>
              <w:rPr>
                <w:b/>
                <w:bCs/>
                <w:sz w:val="18"/>
                <w:szCs w:val="18"/>
                <w:lang w:eastAsia="en-NZ"/>
              </w:rPr>
            </w:pPr>
          </w:p>
        </w:tc>
        <w:tc>
          <w:tcPr>
            <w:tcW w:w="3307" w:type="dxa"/>
            <w:tcBorders>
              <w:left w:val="single" w:sz="4" w:space="0" w:color="000000"/>
              <w:right w:val="single" w:sz="4" w:space="0" w:color="000000"/>
            </w:tcBorders>
            <w:shd w:val="clear" w:color="auto" w:fill="auto"/>
            <w:noWrap/>
            <w:vAlign w:val="bottom"/>
            <w:hideMark/>
          </w:tcPr>
          <w:p w:rsidR="00ED105B" w:rsidRPr="009A4938" w:rsidRDefault="00ED105B" w:rsidP="00ED105B">
            <w:pPr>
              <w:spacing w:before="0" w:after="40" w:line="240" w:lineRule="auto"/>
              <w:rPr>
                <w:sz w:val="18"/>
                <w:szCs w:val="18"/>
                <w:lang w:eastAsia="en-NZ"/>
              </w:rPr>
            </w:pPr>
            <w:r w:rsidRPr="009A4938">
              <w:rPr>
                <w:sz w:val="18"/>
                <w:szCs w:val="18"/>
                <w:lang w:eastAsia="en-NZ"/>
              </w:rPr>
              <w:t>3 Household Operations</w:t>
            </w:r>
          </w:p>
        </w:tc>
        <w:tc>
          <w:tcPr>
            <w:tcW w:w="0" w:type="auto"/>
            <w:tcBorders>
              <w:left w:val="nil"/>
              <w:right w:val="single" w:sz="4" w:space="0" w:color="auto"/>
            </w:tcBorders>
            <w:shd w:val="clear" w:color="auto" w:fill="auto"/>
            <w:noWrap/>
            <w:vAlign w:val="bottom"/>
            <w:hideMark/>
          </w:tcPr>
          <w:p w:rsidR="00ED105B" w:rsidRPr="009A4938" w:rsidRDefault="00ED105B" w:rsidP="00ED105B">
            <w:pPr>
              <w:spacing w:before="0" w:after="40" w:line="240" w:lineRule="auto"/>
              <w:jc w:val="right"/>
              <w:rPr>
                <w:sz w:val="18"/>
                <w:szCs w:val="18"/>
                <w:lang w:eastAsia="en-NZ"/>
              </w:rPr>
            </w:pPr>
            <w:r w:rsidRPr="009A4938">
              <w:rPr>
                <w:sz w:val="18"/>
                <w:szCs w:val="18"/>
                <w:lang w:eastAsia="en-NZ"/>
              </w:rPr>
              <w:t>230,806</w:t>
            </w:r>
          </w:p>
        </w:tc>
        <w:tc>
          <w:tcPr>
            <w:tcW w:w="868" w:type="dxa"/>
            <w:tcBorders>
              <w:left w:val="single" w:sz="4" w:space="0" w:color="auto"/>
              <w:right w:val="single" w:sz="4" w:space="0" w:color="auto"/>
            </w:tcBorders>
            <w:shd w:val="clear" w:color="000000" w:fill="FFB55B"/>
            <w:noWrap/>
            <w:vAlign w:val="bottom"/>
            <w:hideMark/>
          </w:tcPr>
          <w:p w:rsidR="00ED105B" w:rsidRPr="009A4938" w:rsidRDefault="00ED105B" w:rsidP="00ED105B">
            <w:pPr>
              <w:spacing w:before="0" w:after="40" w:line="240" w:lineRule="auto"/>
              <w:jc w:val="right"/>
              <w:rPr>
                <w:sz w:val="18"/>
                <w:szCs w:val="18"/>
                <w:lang w:eastAsia="en-NZ"/>
              </w:rPr>
            </w:pPr>
            <w:r w:rsidRPr="009A4938">
              <w:rPr>
                <w:sz w:val="18"/>
                <w:szCs w:val="18"/>
                <w:lang w:eastAsia="en-NZ"/>
              </w:rPr>
              <w:t>7.44%</w:t>
            </w:r>
          </w:p>
        </w:tc>
        <w:tc>
          <w:tcPr>
            <w:tcW w:w="1532" w:type="dxa"/>
            <w:tcBorders>
              <w:left w:val="nil"/>
              <w:right w:val="nil"/>
            </w:tcBorders>
            <w:shd w:val="clear" w:color="000000" w:fill="FFFFFF"/>
            <w:noWrap/>
            <w:vAlign w:val="bottom"/>
            <w:hideMark/>
          </w:tcPr>
          <w:p w:rsidR="00ED105B" w:rsidRPr="009A4938" w:rsidRDefault="00ED105B" w:rsidP="00ED105B">
            <w:pPr>
              <w:spacing w:before="0" w:after="40" w:line="240" w:lineRule="auto"/>
              <w:rPr>
                <w:rFonts w:ascii="Arial" w:hAnsi="Arial" w:cs="Arial"/>
                <w:sz w:val="18"/>
                <w:szCs w:val="18"/>
                <w:lang w:eastAsia="en-NZ"/>
              </w:rPr>
            </w:pPr>
            <w:r w:rsidRPr="009A4938">
              <w:rPr>
                <w:rFonts w:ascii="Arial" w:hAnsi="Arial" w:cs="Arial"/>
                <w:sz w:val="18"/>
                <w:szCs w:val="18"/>
                <w:lang w:eastAsia="en-NZ"/>
              </w:rPr>
              <w:t>|||||||</w:t>
            </w:r>
          </w:p>
        </w:tc>
        <w:tc>
          <w:tcPr>
            <w:tcW w:w="0" w:type="auto"/>
            <w:tcBorders>
              <w:left w:val="nil"/>
              <w:right w:val="single" w:sz="4" w:space="0" w:color="auto"/>
            </w:tcBorders>
            <w:shd w:val="clear" w:color="auto" w:fill="auto"/>
            <w:noWrap/>
            <w:vAlign w:val="bottom"/>
            <w:hideMark/>
          </w:tcPr>
          <w:p w:rsidR="00ED105B" w:rsidRPr="009A4938" w:rsidRDefault="00ED105B" w:rsidP="00ED105B">
            <w:pPr>
              <w:spacing w:before="0" w:after="40" w:line="240" w:lineRule="auto"/>
              <w:rPr>
                <w:color w:val="000000"/>
                <w:sz w:val="18"/>
                <w:szCs w:val="18"/>
                <w:lang w:eastAsia="en-NZ"/>
              </w:rPr>
            </w:pPr>
            <w:r w:rsidRPr="009A4938">
              <w:rPr>
                <w:color w:val="000000"/>
                <w:sz w:val="18"/>
                <w:szCs w:val="18"/>
                <w:lang w:eastAsia="en-NZ"/>
              </w:rPr>
              <w:t>Good</w:t>
            </w:r>
          </w:p>
        </w:tc>
      </w:tr>
      <w:tr w:rsidR="00ED105B" w:rsidRPr="009A4938" w:rsidTr="00ED105B">
        <w:tc>
          <w:tcPr>
            <w:tcW w:w="0" w:type="auto"/>
            <w:tcBorders>
              <w:left w:val="single" w:sz="4" w:space="0" w:color="auto"/>
              <w:right w:val="single" w:sz="4" w:space="0" w:color="000000"/>
            </w:tcBorders>
            <w:shd w:val="clear" w:color="auto" w:fill="auto"/>
            <w:vAlign w:val="center"/>
            <w:hideMark/>
          </w:tcPr>
          <w:p w:rsidR="00ED105B" w:rsidRPr="009A4938" w:rsidRDefault="00ED105B" w:rsidP="00ED105B">
            <w:pPr>
              <w:spacing w:before="0" w:after="40" w:line="240" w:lineRule="auto"/>
              <w:rPr>
                <w:b/>
                <w:bCs/>
                <w:sz w:val="18"/>
                <w:szCs w:val="18"/>
                <w:lang w:eastAsia="en-NZ"/>
              </w:rPr>
            </w:pPr>
          </w:p>
        </w:tc>
        <w:tc>
          <w:tcPr>
            <w:tcW w:w="3307" w:type="dxa"/>
            <w:tcBorders>
              <w:left w:val="single" w:sz="4" w:space="0" w:color="000000"/>
              <w:right w:val="single" w:sz="4" w:space="0" w:color="000000"/>
            </w:tcBorders>
            <w:shd w:val="clear" w:color="auto" w:fill="auto"/>
            <w:noWrap/>
            <w:vAlign w:val="bottom"/>
            <w:hideMark/>
          </w:tcPr>
          <w:p w:rsidR="00ED105B" w:rsidRPr="009A4938" w:rsidRDefault="00ED105B" w:rsidP="00ED105B">
            <w:pPr>
              <w:spacing w:before="0" w:after="40" w:line="240" w:lineRule="auto"/>
              <w:rPr>
                <w:sz w:val="18"/>
                <w:szCs w:val="18"/>
                <w:lang w:eastAsia="en-NZ"/>
              </w:rPr>
            </w:pPr>
            <w:r w:rsidRPr="009A4938">
              <w:rPr>
                <w:sz w:val="18"/>
                <w:szCs w:val="18"/>
                <w:lang w:eastAsia="en-NZ"/>
              </w:rPr>
              <w:t>4 Clothing &amp; Footwear</w:t>
            </w:r>
          </w:p>
        </w:tc>
        <w:tc>
          <w:tcPr>
            <w:tcW w:w="0" w:type="auto"/>
            <w:tcBorders>
              <w:left w:val="nil"/>
              <w:right w:val="single" w:sz="4" w:space="0" w:color="auto"/>
            </w:tcBorders>
            <w:shd w:val="clear" w:color="auto" w:fill="auto"/>
            <w:noWrap/>
            <w:vAlign w:val="bottom"/>
            <w:hideMark/>
          </w:tcPr>
          <w:p w:rsidR="00ED105B" w:rsidRPr="009A4938" w:rsidRDefault="00ED105B" w:rsidP="00ED105B">
            <w:pPr>
              <w:spacing w:before="0" w:after="40" w:line="240" w:lineRule="auto"/>
              <w:jc w:val="right"/>
              <w:rPr>
                <w:sz w:val="18"/>
                <w:szCs w:val="18"/>
                <w:lang w:eastAsia="en-NZ"/>
              </w:rPr>
            </w:pPr>
            <w:r w:rsidRPr="009A4938">
              <w:rPr>
                <w:sz w:val="18"/>
                <w:szCs w:val="18"/>
                <w:lang w:eastAsia="en-NZ"/>
              </w:rPr>
              <w:t>8,014</w:t>
            </w:r>
          </w:p>
        </w:tc>
        <w:tc>
          <w:tcPr>
            <w:tcW w:w="868" w:type="dxa"/>
            <w:tcBorders>
              <w:left w:val="single" w:sz="4" w:space="0" w:color="auto"/>
              <w:right w:val="single" w:sz="4" w:space="0" w:color="auto"/>
            </w:tcBorders>
            <w:shd w:val="clear" w:color="000000" w:fill="FFB55B"/>
            <w:noWrap/>
            <w:vAlign w:val="bottom"/>
            <w:hideMark/>
          </w:tcPr>
          <w:p w:rsidR="00ED105B" w:rsidRPr="009A4938" w:rsidRDefault="00ED105B" w:rsidP="00ED105B">
            <w:pPr>
              <w:spacing w:before="0" w:after="40" w:line="240" w:lineRule="auto"/>
              <w:jc w:val="right"/>
              <w:rPr>
                <w:sz w:val="18"/>
                <w:szCs w:val="18"/>
                <w:lang w:eastAsia="en-NZ"/>
              </w:rPr>
            </w:pPr>
            <w:r w:rsidRPr="009A4938">
              <w:rPr>
                <w:sz w:val="18"/>
                <w:szCs w:val="18"/>
                <w:lang w:eastAsia="en-NZ"/>
              </w:rPr>
              <w:t>8.59%</w:t>
            </w:r>
          </w:p>
        </w:tc>
        <w:tc>
          <w:tcPr>
            <w:tcW w:w="1532" w:type="dxa"/>
            <w:tcBorders>
              <w:left w:val="nil"/>
              <w:right w:val="nil"/>
            </w:tcBorders>
            <w:shd w:val="clear" w:color="000000" w:fill="FFFFFF"/>
            <w:noWrap/>
            <w:vAlign w:val="bottom"/>
            <w:hideMark/>
          </w:tcPr>
          <w:p w:rsidR="00ED105B" w:rsidRPr="009A4938" w:rsidRDefault="00ED105B" w:rsidP="00ED105B">
            <w:pPr>
              <w:spacing w:before="0" w:after="40" w:line="240" w:lineRule="auto"/>
              <w:rPr>
                <w:rFonts w:ascii="Arial" w:hAnsi="Arial" w:cs="Arial"/>
                <w:sz w:val="18"/>
                <w:szCs w:val="18"/>
                <w:lang w:eastAsia="en-NZ"/>
              </w:rPr>
            </w:pPr>
            <w:r w:rsidRPr="009A4938">
              <w:rPr>
                <w:rFonts w:ascii="Arial" w:hAnsi="Arial" w:cs="Arial"/>
                <w:sz w:val="18"/>
                <w:szCs w:val="18"/>
                <w:lang w:eastAsia="en-NZ"/>
              </w:rPr>
              <w:t>||||||||</w:t>
            </w:r>
          </w:p>
        </w:tc>
        <w:tc>
          <w:tcPr>
            <w:tcW w:w="0" w:type="auto"/>
            <w:tcBorders>
              <w:left w:val="nil"/>
              <w:right w:val="single" w:sz="4" w:space="0" w:color="auto"/>
            </w:tcBorders>
            <w:shd w:val="clear" w:color="auto" w:fill="auto"/>
            <w:noWrap/>
            <w:vAlign w:val="bottom"/>
            <w:hideMark/>
          </w:tcPr>
          <w:p w:rsidR="00ED105B" w:rsidRPr="009A4938" w:rsidRDefault="00ED105B" w:rsidP="00ED105B">
            <w:pPr>
              <w:spacing w:before="0" w:after="40" w:line="240" w:lineRule="auto"/>
              <w:rPr>
                <w:color w:val="000000"/>
                <w:sz w:val="18"/>
                <w:szCs w:val="18"/>
                <w:lang w:eastAsia="en-NZ"/>
              </w:rPr>
            </w:pPr>
            <w:r w:rsidRPr="009A4938">
              <w:rPr>
                <w:color w:val="000000"/>
                <w:sz w:val="18"/>
                <w:szCs w:val="18"/>
                <w:lang w:eastAsia="en-NZ"/>
              </w:rPr>
              <w:t>Good</w:t>
            </w:r>
          </w:p>
        </w:tc>
      </w:tr>
      <w:tr w:rsidR="00ED105B" w:rsidRPr="009A4938" w:rsidTr="00ED105B">
        <w:tc>
          <w:tcPr>
            <w:tcW w:w="0" w:type="auto"/>
            <w:tcBorders>
              <w:left w:val="single" w:sz="4" w:space="0" w:color="auto"/>
              <w:right w:val="single" w:sz="4" w:space="0" w:color="000000"/>
            </w:tcBorders>
            <w:shd w:val="clear" w:color="auto" w:fill="auto"/>
            <w:vAlign w:val="center"/>
            <w:hideMark/>
          </w:tcPr>
          <w:p w:rsidR="00ED105B" w:rsidRPr="009A4938" w:rsidRDefault="00ED105B" w:rsidP="00ED105B">
            <w:pPr>
              <w:spacing w:before="0" w:after="40" w:line="240" w:lineRule="auto"/>
              <w:rPr>
                <w:b/>
                <w:bCs/>
                <w:sz w:val="18"/>
                <w:szCs w:val="18"/>
                <w:lang w:eastAsia="en-NZ"/>
              </w:rPr>
            </w:pPr>
          </w:p>
        </w:tc>
        <w:tc>
          <w:tcPr>
            <w:tcW w:w="3307" w:type="dxa"/>
            <w:tcBorders>
              <w:left w:val="single" w:sz="4" w:space="0" w:color="000000"/>
              <w:right w:val="single" w:sz="4" w:space="0" w:color="000000"/>
            </w:tcBorders>
            <w:shd w:val="clear" w:color="auto" w:fill="auto"/>
            <w:noWrap/>
            <w:vAlign w:val="bottom"/>
            <w:hideMark/>
          </w:tcPr>
          <w:p w:rsidR="00ED105B" w:rsidRPr="009A4938" w:rsidRDefault="00ED105B" w:rsidP="00ED105B">
            <w:pPr>
              <w:spacing w:before="0" w:after="40" w:line="240" w:lineRule="auto"/>
              <w:rPr>
                <w:sz w:val="18"/>
                <w:szCs w:val="18"/>
                <w:lang w:eastAsia="en-NZ"/>
              </w:rPr>
            </w:pPr>
            <w:r w:rsidRPr="009A4938">
              <w:rPr>
                <w:sz w:val="18"/>
                <w:szCs w:val="18"/>
                <w:lang w:eastAsia="en-NZ"/>
              </w:rPr>
              <w:t>5 Transport</w:t>
            </w:r>
          </w:p>
        </w:tc>
        <w:tc>
          <w:tcPr>
            <w:tcW w:w="0" w:type="auto"/>
            <w:tcBorders>
              <w:left w:val="nil"/>
              <w:right w:val="single" w:sz="4" w:space="0" w:color="auto"/>
            </w:tcBorders>
            <w:shd w:val="clear" w:color="auto" w:fill="auto"/>
            <w:noWrap/>
            <w:vAlign w:val="bottom"/>
            <w:hideMark/>
          </w:tcPr>
          <w:p w:rsidR="00ED105B" w:rsidRPr="009A4938" w:rsidRDefault="00ED105B" w:rsidP="00ED105B">
            <w:pPr>
              <w:spacing w:before="0" w:after="40" w:line="240" w:lineRule="auto"/>
              <w:jc w:val="right"/>
              <w:rPr>
                <w:sz w:val="18"/>
                <w:szCs w:val="18"/>
                <w:lang w:eastAsia="en-NZ"/>
              </w:rPr>
            </w:pPr>
            <w:r w:rsidRPr="009A4938">
              <w:rPr>
                <w:sz w:val="18"/>
                <w:szCs w:val="18"/>
                <w:lang w:eastAsia="en-NZ"/>
              </w:rPr>
              <w:t>98,988</w:t>
            </w:r>
          </w:p>
        </w:tc>
        <w:tc>
          <w:tcPr>
            <w:tcW w:w="868" w:type="dxa"/>
            <w:tcBorders>
              <w:left w:val="single" w:sz="4" w:space="0" w:color="auto"/>
              <w:right w:val="single" w:sz="4" w:space="0" w:color="auto"/>
            </w:tcBorders>
            <w:shd w:val="clear" w:color="000000" w:fill="FFB55B"/>
            <w:noWrap/>
            <w:vAlign w:val="bottom"/>
            <w:hideMark/>
          </w:tcPr>
          <w:p w:rsidR="00ED105B" w:rsidRPr="009A4938" w:rsidRDefault="00ED105B" w:rsidP="00ED105B">
            <w:pPr>
              <w:spacing w:before="0" w:after="40" w:line="240" w:lineRule="auto"/>
              <w:jc w:val="right"/>
              <w:rPr>
                <w:sz w:val="18"/>
                <w:szCs w:val="18"/>
                <w:lang w:eastAsia="en-NZ"/>
              </w:rPr>
            </w:pPr>
            <w:r w:rsidRPr="009A4938">
              <w:rPr>
                <w:sz w:val="18"/>
                <w:szCs w:val="18"/>
                <w:lang w:eastAsia="en-NZ"/>
              </w:rPr>
              <w:t>10.52%</w:t>
            </w:r>
          </w:p>
        </w:tc>
        <w:tc>
          <w:tcPr>
            <w:tcW w:w="1532" w:type="dxa"/>
            <w:tcBorders>
              <w:left w:val="nil"/>
              <w:right w:val="nil"/>
            </w:tcBorders>
            <w:shd w:val="clear" w:color="000000" w:fill="FFFFFF"/>
            <w:noWrap/>
            <w:vAlign w:val="bottom"/>
            <w:hideMark/>
          </w:tcPr>
          <w:p w:rsidR="00ED105B" w:rsidRPr="009A4938" w:rsidRDefault="00ED105B" w:rsidP="00ED105B">
            <w:pPr>
              <w:spacing w:before="0" w:after="40" w:line="240" w:lineRule="auto"/>
              <w:rPr>
                <w:rFonts w:ascii="Arial" w:hAnsi="Arial" w:cs="Arial"/>
                <w:sz w:val="18"/>
                <w:szCs w:val="18"/>
                <w:lang w:eastAsia="en-NZ"/>
              </w:rPr>
            </w:pPr>
            <w:r w:rsidRPr="009A4938">
              <w:rPr>
                <w:rFonts w:ascii="Arial" w:hAnsi="Arial" w:cs="Arial"/>
                <w:sz w:val="18"/>
                <w:szCs w:val="18"/>
                <w:lang w:eastAsia="en-NZ"/>
              </w:rPr>
              <w:t>||||||||||</w:t>
            </w:r>
          </w:p>
        </w:tc>
        <w:tc>
          <w:tcPr>
            <w:tcW w:w="0" w:type="auto"/>
            <w:tcBorders>
              <w:left w:val="nil"/>
              <w:right w:val="single" w:sz="4" w:space="0" w:color="auto"/>
            </w:tcBorders>
            <w:shd w:val="clear" w:color="auto" w:fill="auto"/>
            <w:noWrap/>
            <w:vAlign w:val="bottom"/>
            <w:hideMark/>
          </w:tcPr>
          <w:p w:rsidR="00ED105B" w:rsidRPr="009A4938" w:rsidRDefault="00ED105B" w:rsidP="00ED105B">
            <w:pPr>
              <w:spacing w:before="0" w:after="40" w:line="240" w:lineRule="auto"/>
              <w:rPr>
                <w:color w:val="000000"/>
                <w:sz w:val="18"/>
                <w:szCs w:val="18"/>
                <w:lang w:eastAsia="en-NZ"/>
              </w:rPr>
            </w:pPr>
            <w:r w:rsidRPr="009A4938">
              <w:rPr>
                <w:color w:val="000000"/>
                <w:sz w:val="18"/>
                <w:szCs w:val="18"/>
                <w:lang w:eastAsia="en-NZ"/>
              </w:rPr>
              <w:t>Usable</w:t>
            </w:r>
          </w:p>
        </w:tc>
      </w:tr>
      <w:tr w:rsidR="00ED105B" w:rsidRPr="009A4938" w:rsidTr="00ED105B">
        <w:tc>
          <w:tcPr>
            <w:tcW w:w="0" w:type="auto"/>
            <w:tcBorders>
              <w:left w:val="single" w:sz="4" w:space="0" w:color="auto"/>
              <w:right w:val="single" w:sz="4" w:space="0" w:color="000000"/>
            </w:tcBorders>
            <w:shd w:val="clear" w:color="auto" w:fill="auto"/>
            <w:vAlign w:val="center"/>
            <w:hideMark/>
          </w:tcPr>
          <w:p w:rsidR="00ED105B" w:rsidRPr="009A4938" w:rsidRDefault="00ED105B" w:rsidP="00ED105B">
            <w:pPr>
              <w:spacing w:before="0" w:after="40" w:line="240" w:lineRule="auto"/>
              <w:rPr>
                <w:b/>
                <w:bCs/>
                <w:sz w:val="18"/>
                <w:szCs w:val="18"/>
                <w:lang w:eastAsia="en-NZ"/>
              </w:rPr>
            </w:pPr>
          </w:p>
        </w:tc>
        <w:tc>
          <w:tcPr>
            <w:tcW w:w="3307" w:type="dxa"/>
            <w:tcBorders>
              <w:left w:val="single" w:sz="4" w:space="0" w:color="000000"/>
              <w:right w:val="single" w:sz="4" w:space="0" w:color="000000"/>
            </w:tcBorders>
            <w:shd w:val="clear" w:color="auto" w:fill="auto"/>
            <w:noWrap/>
            <w:vAlign w:val="bottom"/>
            <w:hideMark/>
          </w:tcPr>
          <w:p w:rsidR="00ED105B" w:rsidRPr="009A4938" w:rsidRDefault="00ED105B" w:rsidP="00ED105B">
            <w:pPr>
              <w:spacing w:before="0" w:after="40" w:line="240" w:lineRule="auto"/>
              <w:rPr>
                <w:sz w:val="18"/>
                <w:szCs w:val="18"/>
                <w:lang w:eastAsia="en-NZ"/>
              </w:rPr>
            </w:pPr>
            <w:r w:rsidRPr="009A4938">
              <w:rPr>
                <w:sz w:val="18"/>
                <w:szCs w:val="18"/>
                <w:lang w:eastAsia="en-NZ"/>
              </w:rPr>
              <w:t>6 Alcohol, kava &amp; tobacco</w:t>
            </w:r>
          </w:p>
        </w:tc>
        <w:tc>
          <w:tcPr>
            <w:tcW w:w="0" w:type="auto"/>
            <w:tcBorders>
              <w:left w:val="nil"/>
              <w:right w:val="single" w:sz="4" w:space="0" w:color="auto"/>
            </w:tcBorders>
            <w:shd w:val="clear" w:color="auto" w:fill="auto"/>
            <w:noWrap/>
            <w:vAlign w:val="bottom"/>
            <w:hideMark/>
          </w:tcPr>
          <w:p w:rsidR="00ED105B" w:rsidRPr="009A4938" w:rsidRDefault="00ED105B" w:rsidP="00ED105B">
            <w:pPr>
              <w:spacing w:before="0" w:after="40" w:line="240" w:lineRule="auto"/>
              <w:jc w:val="right"/>
              <w:rPr>
                <w:sz w:val="18"/>
                <w:szCs w:val="18"/>
                <w:lang w:eastAsia="en-NZ"/>
              </w:rPr>
            </w:pPr>
            <w:r w:rsidRPr="009A4938">
              <w:rPr>
                <w:sz w:val="18"/>
                <w:szCs w:val="18"/>
                <w:lang w:eastAsia="en-NZ"/>
              </w:rPr>
              <w:t>56,857</w:t>
            </w:r>
          </w:p>
        </w:tc>
        <w:tc>
          <w:tcPr>
            <w:tcW w:w="868" w:type="dxa"/>
            <w:tcBorders>
              <w:left w:val="single" w:sz="4" w:space="0" w:color="auto"/>
              <w:right w:val="single" w:sz="4" w:space="0" w:color="auto"/>
            </w:tcBorders>
            <w:shd w:val="clear" w:color="000000" w:fill="FFB55B"/>
            <w:noWrap/>
            <w:vAlign w:val="bottom"/>
            <w:hideMark/>
          </w:tcPr>
          <w:p w:rsidR="00ED105B" w:rsidRPr="009A4938" w:rsidRDefault="00ED105B" w:rsidP="00ED105B">
            <w:pPr>
              <w:spacing w:before="0" w:after="40" w:line="240" w:lineRule="auto"/>
              <w:jc w:val="right"/>
              <w:rPr>
                <w:sz w:val="18"/>
                <w:szCs w:val="18"/>
                <w:lang w:eastAsia="en-NZ"/>
              </w:rPr>
            </w:pPr>
            <w:r w:rsidRPr="009A4938">
              <w:rPr>
                <w:sz w:val="18"/>
                <w:szCs w:val="18"/>
                <w:lang w:eastAsia="en-NZ"/>
              </w:rPr>
              <w:t>9.29%</w:t>
            </w:r>
          </w:p>
        </w:tc>
        <w:tc>
          <w:tcPr>
            <w:tcW w:w="1532" w:type="dxa"/>
            <w:tcBorders>
              <w:left w:val="nil"/>
              <w:right w:val="nil"/>
            </w:tcBorders>
            <w:shd w:val="clear" w:color="000000" w:fill="FFFFFF"/>
            <w:noWrap/>
            <w:vAlign w:val="bottom"/>
            <w:hideMark/>
          </w:tcPr>
          <w:p w:rsidR="00ED105B" w:rsidRPr="009A4938" w:rsidRDefault="00ED105B" w:rsidP="00ED105B">
            <w:pPr>
              <w:spacing w:before="0" w:after="40" w:line="240" w:lineRule="auto"/>
              <w:rPr>
                <w:rFonts w:ascii="Arial" w:hAnsi="Arial" w:cs="Arial"/>
                <w:sz w:val="18"/>
                <w:szCs w:val="18"/>
                <w:lang w:eastAsia="en-NZ"/>
              </w:rPr>
            </w:pPr>
            <w:r w:rsidRPr="009A4938">
              <w:rPr>
                <w:rFonts w:ascii="Arial" w:hAnsi="Arial" w:cs="Arial"/>
                <w:sz w:val="18"/>
                <w:szCs w:val="18"/>
                <w:lang w:eastAsia="en-NZ"/>
              </w:rPr>
              <w:t>|||||||||</w:t>
            </w:r>
          </w:p>
        </w:tc>
        <w:tc>
          <w:tcPr>
            <w:tcW w:w="0" w:type="auto"/>
            <w:tcBorders>
              <w:left w:val="nil"/>
              <w:right w:val="single" w:sz="4" w:space="0" w:color="auto"/>
            </w:tcBorders>
            <w:shd w:val="clear" w:color="auto" w:fill="auto"/>
            <w:noWrap/>
            <w:vAlign w:val="bottom"/>
            <w:hideMark/>
          </w:tcPr>
          <w:p w:rsidR="00ED105B" w:rsidRPr="009A4938" w:rsidRDefault="00ED105B" w:rsidP="00ED105B">
            <w:pPr>
              <w:spacing w:before="0" w:after="40" w:line="240" w:lineRule="auto"/>
              <w:rPr>
                <w:color w:val="000000"/>
                <w:sz w:val="18"/>
                <w:szCs w:val="18"/>
                <w:lang w:eastAsia="en-NZ"/>
              </w:rPr>
            </w:pPr>
            <w:r w:rsidRPr="009A4938">
              <w:rPr>
                <w:color w:val="000000"/>
                <w:sz w:val="18"/>
                <w:szCs w:val="18"/>
                <w:lang w:eastAsia="en-NZ"/>
              </w:rPr>
              <w:t>Good</w:t>
            </w:r>
          </w:p>
        </w:tc>
      </w:tr>
      <w:tr w:rsidR="00ED105B" w:rsidRPr="009A4938" w:rsidTr="00ED105B">
        <w:tc>
          <w:tcPr>
            <w:tcW w:w="0" w:type="auto"/>
            <w:tcBorders>
              <w:left w:val="single" w:sz="4" w:space="0" w:color="auto"/>
              <w:right w:val="single" w:sz="4" w:space="0" w:color="000000"/>
            </w:tcBorders>
            <w:shd w:val="clear" w:color="auto" w:fill="auto"/>
            <w:vAlign w:val="center"/>
            <w:hideMark/>
          </w:tcPr>
          <w:p w:rsidR="00ED105B" w:rsidRPr="009A4938" w:rsidRDefault="00ED105B" w:rsidP="00ED105B">
            <w:pPr>
              <w:spacing w:before="0" w:after="40" w:line="240" w:lineRule="auto"/>
              <w:rPr>
                <w:b/>
                <w:bCs/>
                <w:sz w:val="18"/>
                <w:szCs w:val="18"/>
                <w:lang w:eastAsia="en-NZ"/>
              </w:rPr>
            </w:pPr>
          </w:p>
        </w:tc>
        <w:tc>
          <w:tcPr>
            <w:tcW w:w="3307" w:type="dxa"/>
            <w:tcBorders>
              <w:left w:val="single" w:sz="4" w:space="0" w:color="000000"/>
              <w:right w:val="single" w:sz="4" w:space="0" w:color="000000"/>
            </w:tcBorders>
            <w:shd w:val="clear" w:color="auto" w:fill="auto"/>
            <w:noWrap/>
            <w:vAlign w:val="bottom"/>
            <w:hideMark/>
          </w:tcPr>
          <w:p w:rsidR="00ED105B" w:rsidRPr="009A4938" w:rsidRDefault="00ED105B" w:rsidP="00ED105B">
            <w:pPr>
              <w:spacing w:before="0" w:after="40" w:line="240" w:lineRule="auto"/>
              <w:rPr>
                <w:sz w:val="18"/>
                <w:szCs w:val="18"/>
                <w:lang w:eastAsia="en-NZ"/>
              </w:rPr>
            </w:pPr>
            <w:r w:rsidRPr="009A4938">
              <w:rPr>
                <w:sz w:val="18"/>
                <w:szCs w:val="18"/>
                <w:lang w:eastAsia="en-NZ"/>
              </w:rPr>
              <w:t>7 Miscellaneous</w:t>
            </w:r>
          </w:p>
        </w:tc>
        <w:tc>
          <w:tcPr>
            <w:tcW w:w="0" w:type="auto"/>
            <w:tcBorders>
              <w:left w:val="nil"/>
              <w:right w:val="single" w:sz="4" w:space="0" w:color="auto"/>
            </w:tcBorders>
            <w:shd w:val="clear" w:color="auto" w:fill="auto"/>
            <w:noWrap/>
            <w:vAlign w:val="bottom"/>
            <w:hideMark/>
          </w:tcPr>
          <w:p w:rsidR="00ED105B" w:rsidRPr="009A4938" w:rsidRDefault="00ED105B" w:rsidP="00ED105B">
            <w:pPr>
              <w:spacing w:before="0" w:after="40" w:line="240" w:lineRule="auto"/>
              <w:jc w:val="right"/>
              <w:rPr>
                <w:sz w:val="18"/>
                <w:szCs w:val="18"/>
                <w:lang w:eastAsia="en-NZ"/>
              </w:rPr>
            </w:pPr>
            <w:r w:rsidRPr="009A4938">
              <w:rPr>
                <w:sz w:val="18"/>
                <w:szCs w:val="18"/>
                <w:lang w:eastAsia="en-NZ"/>
              </w:rPr>
              <w:t>88,236</w:t>
            </w:r>
          </w:p>
        </w:tc>
        <w:tc>
          <w:tcPr>
            <w:tcW w:w="868" w:type="dxa"/>
            <w:tcBorders>
              <w:left w:val="single" w:sz="4" w:space="0" w:color="auto"/>
              <w:right w:val="single" w:sz="4" w:space="0" w:color="auto"/>
            </w:tcBorders>
            <w:shd w:val="clear" w:color="000000" w:fill="FFB55B"/>
            <w:noWrap/>
            <w:vAlign w:val="bottom"/>
            <w:hideMark/>
          </w:tcPr>
          <w:p w:rsidR="00ED105B" w:rsidRPr="009A4938" w:rsidRDefault="00ED105B" w:rsidP="00ED105B">
            <w:pPr>
              <w:spacing w:before="0" w:after="40" w:line="240" w:lineRule="auto"/>
              <w:jc w:val="right"/>
              <w:rPr>
                <w:sz w:val="18"/>
                <w:szCs w:val="18"/>
                <w:lang w:eastAsia="en-NZ"/>
              </w:rPr>
            </w:pPr>
            <w:r w:rsidRPr="009A4938">
              <w:rPr>
                <w:sz w:val="18"/>
                <w:szCs w:val="18"/>
                <w:lang w:eastAsia="en-NZ"/>
              </w:rPr>
              <w:t>6.47%</w:t>
            </w:r>
          </w:p>
        </w:tc>
        <w:tc>
          <w:tcPr>
            <w:tcW w:w="1532" w:type="dxa"/>
            <w:tcBorders>
              <w:left w:val="nil"/>
              <w:right w:val="nil"/>
            </w:tcBorders>
            <w:shd w:val="clear" w:color="000000" w:fill="FFFFFF"/>
            <w:noWrap/>
            <w:vAlign w:val="bottom"/>
            <w:hideMark/>
          </w:tcPr>
          <w:p w:rsidR="00ED105B" w:rsidRPr="009A4938" w:rsidRDefault="00ED105B" w:rsidP="00ED105B">
            <w:pPr>
              <w:spacing w:before="0" w:after="40" w:line="240" w:lineRule="auto"/>
              <w:rPr>
                <w:rFonts w:ascii="Arial" w:hAnsi="Arial" w:cs="Arial"/>
                <w:sz w:val="18"/>
                <w:szCs w:val="18"/>
                <w:lang w:eastAsia="en-NZ"/>
              </w:rPr>
            </w:pPr>
            <w:r w:rsidRPr="009A4938">
              <w:rPr>
                <w:rFonts w:ascii="Arial" w:hAnsi="Arial" w:cs="Arial"/>
                <w:sz w:val="18"/>
                <w:szCs w:val="18"/>
                <w:lang w:eastAsia="en-NZ"/>
              </w:rPr>
              <w:t>||||||</w:t>
            </w:r>
          </w:p>
        </w:tc>
        <w:tc>
          <w:tcPr>
            <w:tcW w:w="0" w:type="auto"/>
            <w:tcBorders>
              <w:left w:val="nil"/>
              <w:right w:val="single" w:sz="4" w:space="0" w:color="auto"/>
            </w:tcBorders>
            <w:shd w:val="clear" w:color="auto" w:fill="auto"/>
            <w:noWrap/>
            <w:vAlign w:val="bottom"/>
            <w:hideMark/>
          </w:tcPr>
          <w:p w:rsidR="00ED105B" w:rsidRPr="009A4938" w:rsidRDefault="00ED105B" w:rsidP="00ED105B">
            <w:pPr>
              <w:spacing w:before="0" w:after="40" w:line="240" w:lineRule="auto"/>
              <w:rPr>
                <w:color w:val="000000"/>
                <w:sz w:val="18"/>
                <w:szCs w:val="18"/>
                <w:lang w:eastAsia="en-NZ"/>
              </w:rPr>
            </w:pPr>
            <w:r w:rsidRPr="009A4938">
              <w:rPr>
                <w:color w:val="000000"/>
                <w:sz w:val="18"/>
                <w:szCs w:val="18"/>
                <w:lang w:eastAsia="en-NZ"/>
              </w:rPr>
              <w:t>Good</w:t>
            </w:r>
          </w:p>
        </w:tc>
      </w:tr>
      <w:tr w:rsidR="00ED105B" w:rsidRPr="009A4938" w:rsidTr="00ED105B">
        <w:tc>
          <w:tcPr>
            <w:tcW w:w="0" w:type="auto"/>
            <w:tcBorders>
              <w:left w:val="single" w:sz="4" w:space="0" w:color="auto"/>
              <w:right w:val="single" w:sz="4" w:space="0" w:color="000000"/>
            </w:tcBorders>
            <w:shd w:val="clear" w:color="auto" w:fill="auto"/>
            <w:vAlign w:val="center"/>
            <w:hideMark/>
          </w:tcPr>
          <w:p w:rsidR="00ED105B" w:rsidRPr="009A4938" w:rsidRDefault="00ED105B" w:rsidP="00ED105B">
            <w:pPr>
              <w:spacing w:before="0" w:after="40" w:line="240" w:lineRule="auto"/>
              <w:rPr>
                <w:b/>
                <w:bCs/>
                <w:sz w:val="18"/>
                <w:szCs w:val="18"/>
                <w:lang w:eastAsia="en-NZ"/>
              </w:rPr>
            </w:pPr>
          </w:p>
        </w:tc>
        <w:tc>
          <w:tcPr>
            <w:tcW w:w="3307" w:type="dxa"/>
            <w:tcBorders>
              <w:left w:val="single" w:sz="4" w:space="0" w:color="000000"/>
              <w:right w:val="single" w:sz="4" w:space="0" w:color="000000"/>
            </w:tcBorders>
            <w:shd w:val="clear" w:color="auto" w:fill="auto"/>
            <w:noWrap/>
            <w:vAlign w:val="bottom"/>
            <w:hideMark/>
          </w:tcPr>
          <w:p w:rsidR="00ED105B" w:rsidRPr="009A4938" w:rsidRDefault="00ED105B" w:rsidP="00ED105B">
            <w:pPr>
              <w:spacing w:before="0" w:after="40" w:line="240" w:lineRule="auto"/>
              <w:rPr>
                <w:sz w:val="18"/>
                <w:szCs w:val="18"/>
                <w:lang w:eastAsia="en-NZ"/>
              </w:rPr>
            </w:pPr>
            <w:proofErr w:type="spellStart"/>
            <w:r w:rsidRPr="009A4938">
              <w:rPr>
                <w:sz w:val="18"/>
                <w:szCs w:val="18"/>
                <w:lang w:eastAsia="en-NZ"/>
              </w:rPr>
              <w:t>8a</w:t>
            </w:r>
            <w:proofErr w:type="spellEnd"/>
            <w:r w:rsidRPr="009A4938">
              <w:rPr>
                <w:sz w:val="18"/>
                <w:szCs w:val="18"/>
                <w:lang w:eastAsia="en-NZ"/>
              </w:rPr>
              <w:t>: Non-consumption expenditure</w:t>
            </w:r>
          </w:p>
        </w:tc>
        <w:tc>
          <w:tcPr>
            <w:tcW w:w="0" w:type="auto"/>
            <w:tcBorders>
              <w:left w:val="nil"/>
              <w:right w:val="single" w:sz="4" w:space="0" w:color="auto"/>
            </w:tcBorders>
            <w:shd w:val="clear" w:color="auto" w:fill="auto"/>
            <w:noWrap/>
            <w:vAlign w:val="bottom"/>
            <w:hideMark/>
          </w:tcPr>
          <w:p w:rsidR="00ED105B" w:rsidRPr="009A4938" w:rsidRDefault="00ED105B" w:rsidP="00ED105B">
            <w:pPr>
              <w:spacing w:before="0" w:after="40" w:line="240" w:lineRule="auto"/>
              <w:jc w:val="right"/>
              <w:rPr>
                <w:sz w:val="18"/>
                <w:szCs w:val="18"/>
                <w:lang w:eastAsia="en-NZ"/>
              </w:rPr>
            </w:pPr>
            <w:r w:rsidRPr="009A4938">
              <w:rPr>
                <w:sz w:val="18"/>
                <w:szCs w:val="18"/>
                <w:lang w:eastAsia="en-NZ"/>
              </w:rPr>
              <w:t>68,022</w:t>
            </w:r>
          </w:p>
        </w:tc>
        <w:tc>
          <w:tcPr>
            <w:tcW w:w="868" w:type="dxa"/>
            <w:tcBorders>
              <w:left w:val="single" w:sz="4" w:space="0" w:color="auto"/>
              <w:right w:val="single" w:sz="4" w:space="0" w:color="auto"/>
            </w:tcBorders>
            <w:shd w:val="clear" w:color="000000" w:fill="FFB55B"/>
            <w:noWrap/>
            <w:vAlign w:val="bottom"/>
            <w:hideMark/>
          </w:tcPr>
          <w:p w:rsidR="00ED105B" w:rsidRPr="009A4938" w:rsidRDefault="00ED105B" w:rsidP="00ED105B">
            <w:pPr>
              <w:spacing w:before="0" w:after="40" w:line="240" w:lineRule="auto"/>
              <w:jc w:val="right"/>
              <w:rPr>
                <w:sz w:val="18"/>
                <w:szCs w:val="18"/>
                <w:lang w:eastAsia="en-NZ"/>
              </w:rPr>
            </w:pPr>
            <w:r w:rsidRPr="009A4938">
              <w:rPr>
                <w:sz w:val="18"/>
                <w:szCs w:val="18"/>
                <w:lang w:eastAsia="en-NZ"/>
              </w:rPr>
              <w:t>10.38%</w:t>
            </w:r>
          </w:p>
        </w:tc>
        <w:tc>
          <w:tcPr>
            <w:tcW w:w="1532" w:type="dxa"/>
            <w:tcBorders>
              <w:left w:val="nil"/>
              <w:right w:val="nil"/>
            </w:tcBorders>
            <w:shd w:val="clear" w:color="000000" w:fill="FFFFFF"/>
            <w:noWrap/>
            <w:vAlign w:val="bottom"/>
            <w:hideMark/>
          </w:tcPr>
          <w:p w:rsidR="00ED105B" w:rsidRPr="009A4938" w:rsidRDefault="00ED105B" w:rsidP="00ED105B">
            <w:pPr>
              <w:spacing w:before="0" w:after="40" w:line="240" w:lineRule="auto"/>
              <w:rPr>
                <w:rFonts w:ascii="Arial" w:hAnsi="Arial" w:cs="Arial"/>
                <w:sz w:val="18"/>
                <w:szCs w:val="18"/>
                <w:lang w:eastAsia="en-NZ"/>
              </w:rPr>
            </w:pPr>
            <w:r w:rsidRPr="009A4938">
              <w:rPr>
                <w:rFonts w:ascii="Arial" w:hAnsi="Arial" w:cs="Arial"/>
                <w:sz w:val="18"/>
                <w:szCs w:val="18"/>
                <w:lang w:eastAsia="en-NZ"/>
              </w:rPr>
              <w:t>||||||||||</w:t>
            </w:r>
          </w:p>
        </w:tc>
        <w:tc>
          <w:tcPr>
            <w:tcW w:w="0" w:type="auto"/>
            <w:tcBorders>
              <w:left w:val="nil"/>
              <w:right w:val="single" w:sz="4" w:space="0" w:color="auto"/>
            </w:tcBorders>
            <w:shd w:val="clear" w:color="auto" w:fill="auto"/>
            <w:noWrap/>
            <w:vAlign w:val="bottom"/>
            <w:hideMark/>
          </w:tcPr>
          <w:p w:rsidR="00ED105B" w:rsidRPr="009A4938" w:rsidRDefault="00ED105B" w:rsidP="00ED105B">
            <w:pPr>
              <w:spacing w:before="0" w:after="40" w:line="240" w:lineRule="auto"/>
              <w:rPr>
                <w:color w:val="000000"/>
                <w:sz w:val="18"/>
                <w:szCs w:val="18"/>
                <w:lang w:eastAsia="en-NZ"/>
              </w:rPr>
            </w:pPr>
            <w:r w:rsidRPr="009A4938">
              <w:rPr>
                <w:color w:val="000000"/>
                <w:sz w:val="18"/>
                <w:szCs w:val="18"/>
                <w:lang w:eastAsia="en-NZ"/>
              </w:rPr>
              <w:t>Good</w:t>
            </w:r>
          </w:p>
        </w:tc>
      </w:tr>
      <w:tr w:rsidR="00ED105B" w:rsidRPr="009A4938" w:rsidTr="00ED105B">
        <w:tc>
          <w:tcPr>
            <w:tcW w:w="0" w:type="auto"/>
            <w:tcBorders>
              <w:left w:val="single" w:sz="4" w:space="0" w:color="auto"/>
              <w:bottom w:val="single" w:sz="4" w:space="0" w:color="000000"/>
              <w:right w:val="single" w:sz="4" w:space="0" w:color="000000"/>
            </w:tcBorders>
            <w:shd w:val="clear" w:color="auto" w:fill="auto"/>
            <w:vAlign w:val="center"/>
            <w:hideMark/>
          </w:tcPr>
          <w:p w:rsidR="00ED105B" w:rsidRPr="009A4938" w:rsidRDefault="00ED105B" w:rsidP="00ED105B">
            <w:pPr>
              <w:spacing w:before="0" w:after="40" w:line="240" w:lineRule="auto"/>
              <w:rPr>
                <w:b/>
                <w:bCs/>
                <w:sz w:val="18"/>
                <w:szCs w:val="18"/>
                <w:lang w:eastAsia="en-NZ"/>
              </w:rPr>
            </w:pPr>
          </w:p>
        </w:tc>
        <w:tc>
          <w:tcPr>
            <w:tcW w:w="3307" w:type="dxa"/>
            <w:tcBorders>
              <w:left w:val="single" w:sz="4" w:space="0" w:color="000000"/>
              <w:bottom w:val="single" w:sz="4" w:space="0" w:color="auto"/>
              <w:right w:val="single" w:sz="4" w:space="0" w:color="000000"/>
            </w:tcBorders>
            <w:shd w:val="clear" w:color="auto" w:fill="auto"/>
            <w:noWrap/>
            <w:vAlign w:val="bottom"/>
            <w:hideMark/>
          </w:tcPr>
          <w:p w:rsidR="00ED105B" w:rsidRPr="009A4938" w:rsidRDefault="00ED105B" w:rsidP="00ED105B">
            <w:pPr>
              <w:spacing w:before="0" w:after="40" w:line="240" w:lineRule="auto"/>
              <w:rPr>
                <w:sz w:val="18"/>
                <w:szCs w:val="18"/>
                <w:lang w:eastAsia="en-NZ"/>
              </w:rPr>
            </w:pPr>
            <w:proofErr w:type="spellStart"/>
            <w:r w:rsidRPr="009A4938">
              <w:rPr>
                <w:sz w:val="18"/>
                <w:szCs w:val="18"/>
                <w:lang w:eastAsia="en-NZ"/>
              </w:rPr>
              <w:t>9a</w:t>
            </w:r>
            <w:proofErr w:type="spellEnd"/>
            <w:r w:rsidRPr="009A4938">
              <w:rPr>
                <w:sz w:val="18"/>
                <w:szCs w:val="18"/>
                <w:lang w:eastAsia="en-NZ"/>
              </w:rPr>
              <w:t>: Gifts received (including remittances)</w:t>
            </w:r>
          </w:p>
        </w:tc>
        <w:tc>
          <w:tcPr>
            <w:tcW w:w="0" w:type="auto"/>
            <w:tcBorders>
              <w:left w:val="nil"/>
              <w:bottom w:val="single" w:sz="4" w:space="0" w:color="auto"/>
              <w:right w:val="single" w:sz="4" w:space="0" w:color="auto"/>
            </w:tcBorders>
            <w:shd w:val="clear" w:color="auto" w:fill="auto"/>
            <w:noWrap/>
            <w:vAlign w:val="bottom"/>
            <w:hideMark/>
          </w:tcPr>
          <w:p w:rsidR="00ED105B" w:rsidRPr="009A4938" w:rsidRDefault="00ED105B" w:rsidP="00ED105B">
            <w:pPr>
              <w:spacing w:before="0" w:after="40" w:line="240" w:lineRule="auto"/>
              <w:jc w:val="right"/>
              <w:rPr>
                <w:sz w:val="18"/>
                <w:szCs w:val="18"/>
                <w:lang w:eastAsia="en-NZ"/>
              </w:rPr>
            </w:pPr>
            <w:r w:rsidRPr="009A4938">
              <w:rPr>
                <w:sz w:val="18"/>
                <w:szCs w:val="18"/>
                <w:lang w:eastAsia="en-NZ"/>
              </w:rPr>
              <w:t>11,222</w:t>
            </w:r>
          </w:p>
        </w:tc>
        <w:tc>
          <w:tcPr>
            <w:tcW w:w="868" w:type="dxa"/>
            <w:tcBorders>
              <w:left w:val="single" w:sz="4" w:space="0" w:color="auto"/>
              <w:bottom w:val="single" w:sz="4" w:space="0" w:color="auto"/>
              <w:right w:val="single" w:sz="4" w:space="0" w:color="auto"/>
            </w:tcBorders>
            <w:shd w:val="clear" w:color="000000" w:fill="FFB55B"/>
            <w:noWrap/>
            <w:vAlign w:val="bottom"/>
            <w:hideMark/>
          </w:tcPr>
          <w:p w:rsidR="00ED105B" w:rsidRPr="009A4938" w:rsidRDefault="00ED105B" w:rsidP="00ED105B">
            <w:pPr>
              <w:spacing w:before="0" w:after="40" w:line="240" w:lineRule="auto"/>
              <w:jc w:val="right"/>
              <w:rPr>
                <w:sz w:val="18"/>
                <w:szCs w:val="18"/>
                <w:lang w:eastAsia="en-NZ"/>
              </w:rPr>
            </w:pPr>
            <w:r w:rsidRPr="009A4938">
              <w:rPr>
                <w:sz w:val="18"/>
                <w:szCs w:val="18"/>
                <w:lang w:eastAsia="en-NZ"/>
              </w:rPr>
              <w:t>26.60%</w:t>
            </w:r>
          </w:p>
        </w:tc>
        <w:tc>
          <w:tcPr>
            <w:tcW w:w="1532" w:type="dxa"/>
            <w:tcBorders>
              <w:left w:val="nil"/>
              <w:bottom w:val="single" w:sz="4" w:space="0" w:color="auto"/>
              <w:right w:val="nil"/>
            </w:tcBorders>
            <w:shd w:val="clear" w:color="000000" w:fill="FFFFFF"/>
            <w:noWrap/>
            <w:vAlign w:val="bottom"/>
            <w:hideMark/>
          </w:tcPr>
          <w:p w:rsidR="00ED105B" w:rsidRPr="009A4938" w:rsidRDefault="00ED105B" w:rsidP="00ED105B">
            <w:pPr>
              <w:spacing w:before="0" w:after="40" w:line="240" w:lineRule="auto"/>
              <w:rPr>
                <w:rFonts w:ascii="Arial" w:hAnsi="Arial" w:cs="Arial"/>
                <w:sz w:val="18"/>
                <w:szCs w:val="18"/>
                <w:lang w:eastAsia="en-NZ"/>
              </w:rPr>
            </w:pPr>
            <w:r w:rsidRPr="009A4938">
              <w:rPr>
                <w:rFonts w:ascii="Arial" w:hAnsi="Arial" w:cs="Arial"/>
                <w:sz w:val="18"/>
                <w:szCs w:val="18"/>
                <w:lang w:eastAsia="en-NZ"/>
              </w:rPr>
              <w:t>||||||||||||||||||||||||||</w:t>
            </w:r>
          </w:p>
        </w:tc>
        <w:tc>
          <w:tcPr>
            <w:tcW w:w="0" w:type="auto"/>
            <w:tcBorders>
              <w:left w:val="nil"/>
              <w:bottom w:val="single" w:sz="4" w:space="0" w:color="auto"/>
              <w:right w:val="single" w:sz="4" w:space="0" w:color="auto"/>
            </w:tcBorders>
            <w:shd w:val="clear" w:color="auto" w:fill="auto"/>
            <w:noWrap/>
            <w:vAlign w:val="bottom"/>
            <w:hideMark/>
          </w:tcPr>
          <w:p w:rsidR="00ED105B" w:rsidRPr="009A4938" w:rsidRDefault="00ED105B" w:rsidP="00ED105B">
            <w:pPr>
              <w:spacing w:before="0" w:after="40" w:line="240" w:lineRule="auto"/>
              <w:rPr>
                <w:color w:val="000000"/>
                <w:sz w:val="18"/>
                <w:szCs w:val="18"/>
                <w:lang w:eastAsia="en-NZ"/>
              </w:rPr>
            </w:pPr>
            <w:r w:rsidRPr="009A4938">
              <w:rPr>
                <w:color w:val="000000"/>
                <w:sz w:val="18"/>
                <w:szCs w:val="18"/>
                <w:lang w:eastAsia="en-NZ"/>
              </w:rPr>
              <w:t>To be cautious</w:t>
            </w:r>
          </w:p>
        </w:tc>
      </w:tr>
    </w:tbl>
    <w:p w:rsidR="000D1075" w:rsidRDefault="00E11B33" w:rsidP="0076531F">
      <w:pPr>
        <w:spacing w:before="60" w:after="60"/>
        <w:rPr>
          <w:rFonts w:cs="Times New Roman"/>
        </w:rPr>
      </w:pPr>
      <w:r>
        <w:rPr>
          <w:rFonts w:cs="Times New Roman"/>
        </w:rPr>
        <w:t xml:space="preserve">The HIES was a sample survey and the estimates for income and expenditure in this report are subject to sampling (and non-sampling) error. </w:t>
      </w:r>
      <w:r w:rsidR="00ED105B">
        <w:rPr>
          <w:rFonts w:cs="Times New Roman"/>
        </w:rPr>
        <w:t>Table 4</w:t>
      </w:r>
      <w:r>
        <w:rPr>
          <w:rFonts w:cs="Times New Roman"/>
        </w:rPr>
        <w:t xml:space="preserve"> contain</w:t>
      </w:r>
      <w:r w:rsidR="00ED105B">
        <w:rPr>
          <w:rFonts w:cs="Times New Roman"/>
        </w:rPr>
        <w:t>s</w:t>
      </w:r>
      <w:r>
        <w:rPr>
          <w:rFonts w:cs="Times New Roman"/>
        </w:rPr>
        <w:t xml:space="preserve"> the estimated relative standard errors (RSEs) for household expenditure; RSE estimates of less than 5% are generally considered to provide reliable estimates. At the national level the RSE estimate for expenditure is 3%, indicating that the quality of the national expenditure data is very good.</w:t>
      </w:r>
      <w:r w:rsidR="00ED105B">
        <w:rPr>
          <w:rFonts w:cs="Times New Roman"/>
        </w:rPr>
        <w:t xml:space="preserve"> The highest RSE </w:t>
      </w:r>
      <w:r w:rsidR="00036AF3">
        <w:rPr>
          <w:rFonts w:cs="Times New Roman"/>
        </w:rPr>
        <w:t xml:space="preserve">was for gifts received in urban areas was caused by the large range in values reported from very small to very large </w:t>
      </w:r>
      <w:r w:rsidR="00036AF3">
        <w:rPr>
          <w:rFonts w:cs="Times New Roman"/>
        </w:rPr>
        <w:t>amounts of money</w:t>
      </w:r>
      <w:r w:rsidR="00036AF3">
        <w:rPr>
          <w:rFonts w:cs="Times New Roman"/>
        </w:rPr>
        <w:t xml:space="preserve"> and small day to day gifts of food and the like to large costly items. </w:t>
      </w:r>
    </w:p>
    <w:p w:rsidR="00ED105B" w:rsidRDefault="00ED105B" w:rsidP="00ED105B">
      <w:pPr>
        <w:spacing w:before="0" w:after="0" w:line="240" w:lineRule="auto"/>
        <w:rPr>
          <w:rFonts w:cs="Times New Roman"/>
        </w:rPr>
      </w:pPr>
    </w:p>
    <w:p w:rsidR="00ED105B" w:rsidRDefault="00ED105B" w:rsidP="00ED105B">
      <w:pPr>
        <w:spacing w:before="0" w:after="0" w:line="240" w:lineRule="auto"/>
        <w:rPr>
          <w:rFonts w:cs="Times New Roman"/>
        </w:rPr>
      </w:pPr>
    </w:p>
    <w:p w:rsidR="00ED105B" w:rsidRDefault="00ED105B" w:rsidP="00ED105B">
      <w:pPr>
        <w:spacing w:before="0" w:after="0" w:line="240" w:lineRule="auto"/>
        <w:rPr>
          <w:rFonts w:cs="Times New Roman"/>
        </w:rPr>
      </w:pPr>
    </w:p>
    <w:p w:rsidR="00ED105B" w:rsidRDefault="00ED105B" w:rsidP="00ED105B">
      <w:pPr>
        <w:spacing w:before="0" w:after="0" w:line="240" w:lineRule="auto"/>
        <w:rPr>
          <w:rFonts w:cs="Times New Roman"/>
        </w:rPr>
      </w:pPr>
    </w:p>
    <w:p w:rsidR="00ED105B" w:rsidRDefault="00ED105B" w:rsidP="00ED105B">
      <w:pPr>
        <w:spacing w:before="0" w:after="0" w:line="240" w:lineRule="auto"/>
        <w:rPr>
          <w:rFonts w:cs="Times New Roman"/>
        </w:rPr>
      </w:pPr>
    </w:p>
    <w:p w:rsidR="00ED105B" w:rsidRDefault="00ED105B" w:rsidP="00ED105B">
      <w:pPr>
        <w:spacing w:before="0" w:after="0" w:line="240" w:lineRule="auto"/>
        <w:rPr>
          <w:rFonts w:cs="Times New Roman"/>
        </w:rPr>
      </w:pPr>
    </w:p>
    <w:p w:rsidR="00ED105B" w:rsidRDefault="00ED105B" w:rsidP="00ED105B">
      <w:pPr>
        <w:spacing w:before="0" w:after="0" w:line="240" w:lineRule="auto"/>
        <w:rPr>
          <w:rFonts w:cs="Times New Roman"/>
        </w:rPr>
      </w:pPr>
    </w:p>
    <w:p w:rsidR="00ED105B" w:rsidRDefault="00ED105B" w:rsidP="00ED105B">
      <w:pPr>
        <w:spacing w:before="0" w:after="0" w:line="240" w:lineRule="auto"/>
        <w:rPr>
          <w:rFonts w:cs="Times New Roman"/>
        </w:rPr>
      </w:pPr>
    </w:p>
    <w:p w:rsidR="00ED105B" w:rsidRDefault="00ED105B" w:rsidP="00ED105B">
      <w:pPr>
        <w:spacing w:before="0" w:after="0" w:line="240" w:lineRule="auto"/>
        <w:rPr>
          <w:rFonts w:cs="Times New Roman"/>
        </w:rPr>
      </w:pPr>
    </w:p>
    <w:p w:rsidR="00ED105B" w:rsidRDefault="00ED105B" w:rsidP="00ED105B">
      <w:pPr>
        <w:spacing w:before="0" w:after="0" w:line="240" w:lineRule="auto"/>
        <w:rPr>
          <w:rFonts w:cs="Times New Roman"/>
        </w:rPr>
      </w:pPr>
    </w:p>
    <w:p w:rsidR="00ED105B" w:rsidRDefault="00ED105B" w:rsidP="00ED105B">
      <w:pPr>
        <w:spacing w:before="0" w:after="0" w:line="240" w:lineRule="auto"/>
        <w:rPr>
          <w:rFonts w:cs="Times New Roman"/>
        </w:rPr>
      </w:pPr>
    </w:p>
    <w:p w:rsidR="00ED105B" w:rsidRDefault="00ED105B" w:rsidP="00ED105B">
      <w:pPr>
        <w:spacing w:before="0" w:after="0" w:line="240" w:lineRule="auto"/>
        <w:rPr>
          <w:rFonts w:cs="Times New Roman"/>
        </w:rPr>
      </w:pPr>
    </w:p>
    <w:p w:rsidR="00ED105B" w:rsidRDefault="00ED105B" w:rsidP="00ED105B">
      <w:pPr>
        <w:spacing w:before="0" w:after="0" w:line="240" w:lineRule="auto"/>
        <w:rPr>
          <w:rFonts w:cs="Times New Roman"/>
        </w:rPr>
      </w:pPr>
    </w:p>
    <w:p w:rsidR="00ED105B" w:rsidRDefault="00ED105B" w:rsidP="00ED105B">
      <w:pPr>
        <w:spacing w:before="0" w:after="0" w:line="240" w:lineRule="auto"/>
        <w:rPr>
          <w:rFonts w:cs="Times New Roman"/>
        </w:rPr>
      </w:pPr>
    </w:p>
    <w:p w:rsidR="00ED105B" w:rsidRDefault="00ED105B" w:rsidP="00ED105B">
      <w:pPr>
        <w:spacing w:before="0" w:after="0" w:line="240" w:lineRule="auto"/>
        <w:rPr>
          <w:rFonts w:cs="Times New Roman"/>
        </w:rPr>
      </w:pPr>
    </w:p>
    <w:p w:rsidR="00E11B33" w:rsidRDefault="00E11B33" w:rsidP="00ED105B">
      <w:pPr>
        <w:spacing w:before="0" w:after="0" w:line="240" w:lineRule="auto"/>
        <w:rPr>
          <w:rFonts w:cs="Times New Roman"/>
        </w:rPr>
      </w:pPr>
    </w:p>
    <w:p w:rsidR="0076531F" w:rsidRPr="00507E23" w:rsidRDefault="0076531F" w:rsidP="00ED105B">
      <w:pPr>
        <w:spacing w:before="0" w:after="0" w:line="240" w:lineRule="auto"/>
        <w:rPr>
          <w:rFonts w:cs="Times New Roman"/>
        </w:rPr>
      </w:pPr>
    </w:p>
    <w:sectPr w:rsidR="0076531F" w:rsidRPr="00507E23" w:rsidSect="00AE7E6E">
      <w:pgSz w:w="16838" w:h="11906" w:orient="landscape"/>
      <w:pgMar w:top="991" w:right="1440" w:bottom="1440" w:left="851" w:header="284"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105B" w:rsidRDefault="00ED105B" w:rsidP="00E07DE4">
      <w:pPr>
        <w:spacing w:before="0" w:after="0" w:line="240" w:lineRule="auto"/>
        <w:rPr>
          <w:rFonts w:cs="Times New Roman"/>
        </w:rPr>
      </w:pPr>
      <w:r>
        <w:rPr>
          <w:rFonts w:cs="Times New Roman"/>
        </w:rPr>
        <w:separator/>
      </w:r>
    </w:p>
  </w:endnote>
  <w:endnote w:type="continuationSeparator" w:id="0">
    <w:p w:rsidR="00ED105B" w:rsidRDefault="00ED105B" w:rsidP="00E07DE4">
      <w:pPr>
        <w:spacing w:before="0" w:after="0" w:line="240" w:lineRule="auto"/>
        <w:rPr>
          <w:rFonts w:cs="Times New Roman"/>
        </w:rPr>
      </w:pPr>
      <w:r>
        <w:rPr>
          <w:rFonts w:cs="Times New Roman"/>
        </w:rPr>
        <w:continuationSeparator/>
      </w:r>
    </w:p>
  </w:endnote>
  <w:endnote w:id="1">
    <w:p w:rsidR="00ED105B" w:rsidRDefault="00ED105B" w:rsidP="004D4DD4">
      <w:pPr>
        <w:pStyle w:val="EndnoteText"/>
      </w:pPr>
      <w:r>
        <w:rPr>
          <w:rStyle w:val="EndnoteReference"/>
        </w:rPr>
        <w:endnoteRef/>
      </w:r>
      <w:r>
        <w:t xml:space="preserve"> 2006 HIES results have been converted to approximate 2010 Vatu values using the cumulated annual rate of inflation from the national Consumer Price Index 2007 – 2010 which was 18.1%.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105B" w:rsidRPr="00507E23" w:rsidRDefault="00ED105B" w:rsidP="00507E23">
    <w:pPr>
      <w:pStyle w:val="Footer"/>
      <w:jc w:val="center"/>
      <w:rPr>
        <w:i/>
      </w:rPr>
    </w:pPr>
    <w:r w:rsidRPr="003871DA">
      <w:rPr>
        <w:i/>
      </w:rPr>
      <w:t xml:space="preserve">Page </w:t>
    </w:r>
    <w:sdt>
      <w:sdtPr>
        <w:rPr>
          <w:i/>
        </w:rPr>
        <w:id w:val="-2095155948"/>
        <w:docPartObj>
          <w:docPartGallery w:val="Page Numbers (Bottom of Page)"/>
          <w:docPartUnique/>
        </w:docPartObj>
      </w:sdtPr>
      <w:sdtEndPr>
        <w:rPr>
          <w:noProof/>
        </w:rPr>
      </w:sdtEndPr>
      <w:sdtContent>
        <w:r w:rsidRPr="003871DA">
          <w:rPr>
            <w:i/>
          </w:rPr>
          <w:fldChar w:fldCharType="begin"/>
        </w:r>
        <w:r w:rsidRPr="003871DA">
          <w:rPr>
            <w:i/>
          </w:rPr>
          <w:instrText xml:space="preserve"> PAGE   \* MERGEFORMAT </w:instrText>
        </w:r>
        <w:r w:rsidRPr="003871DA">
          <w:rPr>
            <w:i/>
          </w:rPr>
          <w:fldChar w:fldCharType="separate"/>
        </w:r>
        <w:r w:rsidR="00FC4ABF">
          <w:rPr>
            <w:i/>
            <w:noProof/>
          </w:rPr>
          <w:t>10</w:t>
        </w:r>
        <w:r w:rsidRPr="003871DA">
          <w:rPr>
            <w:i/>
            <w:noProof/>
          </w:rPr>
          <w:fldChar w:fldCharType="end"/>
        </w:r>
        <w:r w:rsidRPr="003871DA">
          <w:rPr>
            <w:i/>
            <w:noProof/>
          </w:rPr>
          <w:t xml:space="preserve"> of </w:t>
        </w:r>
        <w:r w:rsidRPr="003871DA">
          <w:rPr>
            <w:i/>
            <w:noProof/>
          </w:rPr>
          <w:fldChar w:fldCharType="begin"/>
        </w:r>
        <w:r w:rsidRPr="003871DA">
          <w:rPr>
            <w:i/>
            <w:noProof/>
          </w:rPr>
          <w:instrText xml:space="preserve"> NUMPAGES  \# "0"  \* MERGEFORMAT </w:instrText>
        </w:r>
        <w:r w:rsidRPr="003871DA">
          <w:rPr>
            <w:i/>
            <w:noProof/>
          </w:rPr>
          <w:fldChar w:fldCharType="separate"/>
        </w:r>
        <w:r w:rsidR="00FC4ABF">
          <w:rPr>
            <w:i/>
            <w:noProof/>
          </w:rPr>
          <w:t>10</w:t>
        </w:r>
        <w:r w:rsidRPr="003871DA">
          <w:rPr>
            <w:i/>
            <w:noProof/>
          </w:rPr>
          <w:fldChar w:fldCharType="end"/>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105B" w:rsidRDefault="00ED105B" w:rsidP="00E07DE4">
      <w:pPr>
        <w:spacing w:before="0" w:after="0" w:line="240" w:lineRule="auto"/>
        <w:rPr>
          <w:rFonts w:cs="Times New Roman"/>
        </w:rPr>
      </w:pPr>
      <w:r>
        <w:rPr>
          <w:rFonts w:cs="Times New Roman"/>
        </w:rPr>
        <w:separator/>
      </w:r>
    </w:p>
  </w:footnote>
  <w:footnote w:type="continuationSeparator" w:id="0">
    <w:p w:rsidR="00ED105B" w:rsidRDefault="00ED105B" w:rsidP="00E07DE4">
      <w:pPr>
        <w:spacing w:before="0"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105B" w:rsidRPr="00510EB2" w:rsidRDefault="00ED105B" w:rsidP="00195FCD">
    <w:pPr>
      <w:pStyle w:val="Header"/>
      <w:jc w:val="center"/>
      <w:rPr>
        <w:b/>
        <w:bCs/>
        <w:i/>
        <w:iCs/>
        <w:sz w:val="18"/>
        <w:szCs w:val="18"/>
      </w:rPr>
    </w:pPr>
    <w:r w:rsidRPr="00510EB2">
      <w:rPr>
        <w:b/>
        <w:bCs/>
        <w:i/>
        <w:iCs/>
        <w:sz w:val="18"/>
        <w:szCs w:val="18"/>
      </w:rPr>
      <w:t>Vanuatu National Statistics Office</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456" w:type="dxa"/>
      <w:tblInd w:w="-252" w:type="dxa"/>
      <w:tblLook w:val="01E0" w:firstRow="1" w:lastRow="1" w:firstColumn="1" w:lastColumn="1" w:noHBand="0" w:noVBand="0"/>
    </w:tblPr>
    <w:tblGrid>
      <w:gridCol w:w="2856"/>
      <w:gridCol w:w="4563"/>
      <w:gridCol w:w="3037"/>
    </w:tblGrid>
    <w:tr w:rsidR="00ED105B" w:rsidRPr="0075294E" w:rsidTr="003F49F6">
      <w:trPr>
        <w:trHeight w:val="1412"/>
      </w:trPr>
      <w:tc>
        <w:tcPr>
          <w:tcW w:w="2856" w:type="dxa"/>
          <w:vAlign w:val="center"/>
        </w:tcPr>
        <w:p w:rsidR="00ED105B" w:rsidRPr="0075294E" w:rsidRDefault="00ED105B" w:rsidP="006868BB">
          <w:pPr>
            <w:spacing w:before="0" w:after="40" w:line="240" w:lineRule="auto"/>
            <w:rPr>
              <w:rFonts w:ascii="Arial" w:hAnsi="Arial" w:cs="Arial"/>
              <w:b/>
              <w:bCs/>
              <w:sz w:val="18"/>
              <w:szCs w:val="18"/>
            </w:rPr>
          </w:pPr>
          <w:r w:rsidRPr="0075294E">
            <w:rPr>
              <w:rFonts w:ascii="Arial" w:hAnsi="Arial" w:cs="Arial"/>
              <w:b/>
              <w:bCs/>
              <w:sz w:val="18"/>
              <w:szCs w:val="18"/>
            </w:rPr>
            <w:t>VANUATU NATIONAL STATISTICS OFFICE</w:t>
          </w:r>
        </w:p>
        <w:p w:rsidR="00ED105B" w:rsidRPr="0075294E" w:rsidRDefault="00ED105B" w:rsidP="006868BB">
          <w:pPr>
            <w:spacing w:before="0" w:after="40" w:line="240" w:lineRule="auto"/>
            <w:rPr>
              <w:rFonts w:ascii="Arial" w:hAnsi="Arial" w:cs="Arial"/>
              <w:sz w:val="18"/>
              <w:szCs w:val="18"/>
            </w:rPr>
          </w:pPr>
          <w:r w:rsidRPr="0075294E">
            <w:rPr>
              <w:rFonts w:ascii="Arial" w:hAnsi="Arial" w:cs="Arial"/>
              <w:sz w:val="18"/>
              <w:szCs w:val="18"/>
            </w:rPr>
            <w:t>Private Mail Bag 9019</w:t>
          </w:r>
        </w:p>
        <w:p w:rsidR="00ED105B" w:rsidRPr="0075294E" w:rsidRDefault="00ED105B" w:rsidP="006868BB">
          <w:pPr>
            <w:spacing w:before="0" w:after="40" w:line="240" w:lineRule="auto"/>
            <w:rPr>
              <w:rFonts w:ascii="Arial" w:hAnsi="Arial" w:cs="Arial"/>
              <w:sz w:val="18"/>
              <w:szCs w:val="18"/>
            </w:rPr>
          </w:pPr>
          <w:r w:rsidRPr="0075294E">
            <w:rPr>
              <w:rFonts w:ascii="Arial" w:hAnsi="Arial" w:cs="Arial"/>
              <w:sz w:val="18"/>
              <w:szCs w:val="18"/>
            </w:rPr>
            <w:t>Port Vila, Vanuatu</w:t>
          </w:r>
        </w:p>
      </w:tc>
      <w:tc>
        <w:tcPr>
          <w:tcW w:w="4563" w:type="dxa"/>
        </w:tcPr>
        <w:p w:rsidR="00ED105B" w:rsidRPr="0075294E" w:rsidRDefault="00FC4ABF" w:rsidP="003F49F6">
          <w:pPr>
            <w:spacing w:after="0" w:line="240" w:lineRule="auto"/>
            <w:jc w:val="center"/>
            <w:rPr>
              <w:rFonts w:ascii="Brush Script MT" w:hAnsi="Brush Script MT" w:cs="Brush Script MT"/>
              <w:sz w:val="16"/>
              <w:szCs w:val="16"/>
            </w:rPr>
          </w:pPr>
          <w:r>
            <w:rPr>
              <w:noProof/>
              <w:lang w:eastAsia="en-NZ"/>
            </w:rPr>
            <w:drawing>
              <wp:anchor distT="0" distB="0" distL="114300" distR="114300" simplePos="0" relativeHeight="251657728" behindDoc="1" locked="0" layoutInCell="1" allowOverlap="1" wp14:anchorId="69665F66" wp14:editId="1766AB84">
                <wp:simplePos x="0" y="0"/>
                <wp:positionH relativeFrom="column">
                  <wp:posOffset>1722120</wp:posOffset>
                </wp:positionH>
                <wp:positionV relativeFrom="paragraph">
                  <wp:posOffset>217170</wp:posOffset>
                </wp:positionV>
                <wp:extent cx="633095" cy="515620"/>
                <wp:effectExtent l="0" t="0" r="0" b="0"/>
                <wp:wrapTight wrapText="bothSides">
                  <wp:wrapPolygon edited="0">
                    <wp:start x="0" y="0"/>
                    <wp:lineTo x="0" y="20749"/>
                    <wp:lineTo x="20798" y="20749"/>
                    <wp:lineTo x="20798" y="0"/>
                    <wp:lineTo x="0" y="0"/>
                  </wp:wrapPolygon>
                </wp:wrapTight>
                <wp:docPr id="1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633095" cy="515620"/>
                        </a:xfrm>
                        <a:prstGeom prst="rect">
                          <a:avLst/>
                        </a:prstGeom>
                        <a:noFill/>
                      </pic:spPr>
                    </pic:pic>
                  </a:graphicData>
                </a:graphic>
                <wp14:sizeRelH relativeFrom="margin">
                  <wp14:pctWidth>0</wp14:pctWidth>
                </wp14:sizeRelH>
                <wp14:sizeRelV relativeFrom="margin">
                  <wp14:pctHeight>0</wp14:pctHeight>
                </wp14:sizeRelV>
              </wp:anchor>
            </w:drawing>
          </w:r>
          <w:r w:rsidR="00ED105B">
            <w:rPr>
              <w:rFonts w:ascii="Brush Script MT" w:hAnsi="Brush Script MT" w:cs="Brush Script MT"/>
              <w:noProof/>
              <w:sz w:val="16"/>
              <w:szCs w:val="16"/>
              <w:lang w:eastAsia="en-NZ"/>
            </w:rPr>
            <w:drawing>
              <wp:anchor distT="0" distB="0" distL="114300" distR="114300" simplePos="0" relativeHeight="251658752" behindDoc="1" locked="0" layoutInCell="1" allowOverlap="1" wp14:anchorId="230D2191" wp14:editId="49CD709F">
                <wp:simplePos x="0" y="0"/>
                <wp:positionH relativeFrom="column">
                  <wp:posOffset>432435</wp:posOffset>
                </wp:positionH>
                <wp:positionV relativeFrom="paragraph">
                  <wp:posOffset>131445</wp:posOffset>
                </wp:positionV>
                <wp:extent cx="1257300" cy="609600"/>
                <wp:effectExtent l="0" t="0" r="0" b="0"/>
                <wp:wrapTight wrapText="bothSides">
                  <wp:wrapPolygon edited="0">
                    <wp:start x="0" y="0"/>
                    <wp:lineTo x="0" y="20925"/>
                    <wp:lineTo x="21273" y="20925"/>
                    <wp:lineTo x="21273" y="0"/>
                    <wp:lineTo x="0" y="0"/>
                  </wp:wrapPolygon>
                </wp:wrapTight>
                <wp:docPr id="1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2">
                          <a:extLst>
                            <a:ext uri="{28A0092B-C50C-407E-A947-70E740481C1C}">
                              <a14:useLocalDpi xmlns:a14="http://schemas.microsoft.com/office/drawing/2010/main" val="0"/>
                            </a:ext>
                          </a:extLst>
                        </a:blip>
                        <a:srcRect b="18988"/>
                        <a:stretch/>
                      </pic:blipFill>
                      <pic:spPr bwMode="auto">
                        <a:xfrm>
                          <a:off x="0" y="0"/>
                          <a:ext cx="1257300" cy="6096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3037" w:type="dxa"/>
          <w:vAlign w:val="center"/>
        </w:tcPr>
        <w:p w:rsidR="00ED105B" w:rsidRPr="0075294E" w:rsidRDefault="00ED105B" w:rsidP="006868BB">
          <w:pPr>
            <w:spacing w:before="0" w:after="40" w:line="240" w:lineRule="auto"/>
            <w:rPr>
              <w:rFonts w:ascii="Arial" w:hAnsi="Arial" w:cs="Arial"/>
              <w:b/>
              <w:bCs/>
              <w:sz w:val="18"/>
              <w:szCs w:val="18"/>
              <w:lang w:val="fr-FR"/>
            </w:rPr>
          </w:pPr>
          <w:r w:rsidRPr="0075294E">
            <w:rPr>
              <w:rFonts w:ascii="Arial" w:hAnsi="Arial" w:cs="Arial"/>
              <w:b/>
              <w:bCs/>
              <w:sz w:val="18"/>
              <w:szCs w:val="18"/>
              <w:lang w:val="fr-FR"/>
            </w:rPr>
            <w:t>BUREAU NATIONAL DES STATISTIQUES DU VANUATU</w:t>
          </w:r>
        </w:p>
        <w:p w:rsidR="00ED105B" w:rsidRPr="0075294E" w:rsidRDefault="00ED105B" w:rsidP="006868BB">
          <w:pPr>
            <w:spacing w:before="0" w:after="40" w:line="240" w:lineRule="auto"/>
            <w:rPr>
              <w:rFonts w:ascii="Arial" w:hAnsi="Arial" w:cs="Arial"/>
              <w:sz w:val="18"/>
              <w:szCs w:val="18"/>
              <w:lang w:val="fr-FR"/>
            </w:rPr>
          </w:pPr>
          <w:r w:rsidRPr="0075294E">
            <w:rPr>
              <w:rFonts w:ascii="Arial" w:hAnsi="Arial" w:cs="Arial"/>
              <w:sz w:val="18"/>
              <w:szCs w:val="18"/>
              <w:lang w:val="fr-FR"/>
            </w:rPr>
            <w:t>Sac Postal Réservé 9019</w:t>
          </w:r>
        </w:p>
        <w:p w:rsidR="00ED105B" w:rsidRPr="0075294E" w:rsidRDefault="00ED105B" w:rsidP="006868BB">
          <w:pPr>
            <w:spacing w:before="0" w:after="40" w:line="240" w:lineRule="auto"/>
            <w:rPr>
              <w:rFonts w:ascii="Arial" w:hAnsi="Arial" w:cs="Arial"/>
              <w:sz w:val="18"/>
              <w:szCs w:val="18"/>
              <w:lang w:val="fr-FR"/>
            </w:rPr>
          </w:pPr>
          <w:r w:rsidRPr="0075294E">
            <w:rPr>
              <w:rFonts w:ascii="Arial" w:hAnsi="Arial" w:cs="Arial"/>
              <w:sz w:val="18"/>
              <w:szCs w:val="18"/>
              <w:lang w:val="fr-FR"/>
            </w:rPr>
            <w:t>Port-Vila, Vanuatu</w:t>
          </w:r>
        </w:p>
      </w:tc>
    </w:tr>
  </w:tbl>
  <w:p w:rsidR="00ED105B" w:rsidRPr="00205FD6" w:rsidRDefault="00ED105B" w:rsidP="00195FCD">
    <w:pPr>
      <w:pStyle w:val="Header"/>
      <w:spacing w:before="0"/>
      <w:rPr>
        <w:rFonts w:cs="Times New Roman"/>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4E3033"/>
    <w:multiLevelType w:val="hybridMultilevel"/>
    <w:tmpl w:val="7EE6AC86"/>
    <w:lvl w:ilvl="0" w:tplc="04090001">
      <w:start w:val="1"/>
      <w:numFmt w:val="bullet"/>
      <w:lvlText w:val=""/>
      <w:lvlJc w:val="left"/>
      <w:pPr>
        <w:tabs>
          <w:tab w:val="num" w:pos="360"/>
        </w:tabs>
        <w:ind w:left="360" w:hanging="360"/>
      </w:pPr>
      <w:rPr>
        <w:rFonts w:ascii="Symbol" w:hAnsi="Symbol" w:cs="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cs="Wingdings" w:hint="default"/>
      </w:rPr>
    </w:lvl>
    <w:lvl w:ilvl="3" w:tplc="04090001">
      <w:start w:val="1"/>
      <w:numFmt w:val="bullet"/>
      <w:lvlText w:val=""/>
      <w:lvlJc w:val="left"/>
      <w:pPr>
        <w:tabs>
          <w:tab w:val="num" w:pos="2520"/>
        </w:tabs>
        <w:ind w:left="2520" w:hanging="360"/>
      </w:pPr>
      <w:rPr>
        <w:rFonts w:ascii="Symbol" w:hAnsi="Symbol" w:cs="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Wingdings" w:hint="default"/>
      </w:rPr>
    </w:lvl>
    <w:lvl w:ilvl="6" w:tplc="04090001">
      <w:start w:val="1"/>
      <w:numFmt w:val="bullet"/>
      <w:lvlText w:val=""/>
      <w:lvlJc w:val="left"/>
      <w:pPr>
        <w:tabs>
          <w:tab w:val="num" w:pos="4680"/>
        </w:tabs>
        <w:ind w:left="4680" w:hanging="360"/>
      </w:pPr>
      <w:rPr>
        <w:rFonts w:ascii="Symbol" w:hAnsi="Symbol" w:cs="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oNotHyphenateCaps/>
  <w:characterSpacingControl w:val="doNotCompress"/>
  <w:doNotValidateAgainstSchema/>
  <w:doNotDemarcateInvalidXml/>
  <w:hdrShapeDefaults>
    <o:shapedefaults v:ext="edit" spidmax="430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75C7"/>
    <w:rsid w:val="00015C4B"/>
    <w:rsid w:val="00017F99"/>
    <w:rsid w:val="00023D3D"/>
    <w:rsid w:val="000300C0"/>
    <w:rsid w:val="00036AF3"/>
    <w:rsid w:val="00040C8B"/>
    <w:rsid w:val="00055F25"/>
    <w:rsid w:val="0005658B"/>
    <w:rsid w:val="00061A03"/>
    <w:rsid w:val="000627B7"/>
    <w:rsid w:val="00065A8F"/>
    <w:rsid w:val="00066D92"/>
    <w:rsid w:val="000710ED"/>
    <w:rsid w:val="00083712"/>
    <w:rsid w:val="00084913"/>
    <w:rsid w:val="00090382"/>
    <w:rsid w:val="000A5541"/>
    <w:rsid w:val="000D1075"/>
    <w:rsid w:val="00104CE3"/>
    <w:rsid w:val="00106DFD"/>
    <w:rsid w:val="001150C0"/>
    <w:rsid w:val="00156F78"/>
    <w:rsid w:val="0017339A"/>
    <w:rsid w:val="00187C9F"/>
    <w:rsid w:val="00195FCD"/>
    <w:rsid w:val="001D11EB"/>
    <w:rsid w:val="001E404A"/>
    <w:rsid w:val="001E4240"/>
    <w:rsid w:val="001F5051"/>
    <w:rsid w:val="00205FD6"/>
    <w:rsid w:val="00213427"/>
    <w:rsid w:val="00215D8E"/>
    <w:rsid w:val="0024578E"/>
    <w:rsid w:val="00247A55"/>
    <w:rsid w:val="002578F9"/>
    <w:rsid w:val="0026175A"/>
    <w:rsid w:val="00264E8A"/>
    <w:rsid w:val="002763B0"/>
    <w:rsid w:val="002850E0"/>
    <w:rsid w:val="002B749B"/>
    <w:rsid w:val="002B7FAE"/>
    <w:rsid w:val="002C597C"/>
    <w:rsid w:val="002C6357"/>
    <w:rsid w:val="002D0D64"/>
    <w:rsid w:val="002D521D"/>
    <w:rsid w:val="002E1571"/>
    <w:rsid w:val="002E5F74"/>
    <w:rsid w:val="00312F80"/>
    <w:rsid w:val="003173A0"/>
    <w:rsid w:val="00334BED"/>
    <w:rsid w:val="003373F8"/>
    <w:rsid w:val="00341496"/>
    <w:rsid w:val="00365BCF"/>
    <w:rsid w:val="003679BD"/>
    <w:rsid w:val="00376096"/>
    <w:rsid w:val="00376987"/>
    <w:rsid w:val="003871DA"/>
    <w:rsid w:val="003A09AF"/>
    <w:rsid w:val="003D75C7"/>
    <w:rsid w:val="003F2765"/>
    <w:rsid w:val="003F49F6"/>
    <w:rsid w:val="003F6C9B"/>
    <w:rsid w:val="00404646"/>
    <w:rsid w:val="004254FF"/>
    <w:rsid w:val="00484F99"/>
    <w:rsid w:val="00490847"/>
    <w:rsid w:val="00492E2A"/>
    <w:rsid w:val="00495A4B"/>
    <w:rsid w:val="004A10AD"/>
    <w:rsid w:val="004A2112"/>
    <w:rsid w:val="004B5F60"/>
    <w:rsid w:val="004C266E"/>
    <w:rsid w:val="004C3F52"/>
    <w:rsid w:val="004C43D1"/>
    <w:rsid w:val="004D4C45"/>
    <w:rsid w:val="004D4DD4"/>
    <w:rsid w:val="004D6EFB"/>
    <w:rsid w:val="004F1461"/>
    <w:rsid w:val="004F21BA"/>
    <w:rsid w:val="00507E23"/>
    <w:rsid w:val="00510EB2"/>
    <w:rsid w:val="00525870"/>
    <w:rsid w:val="0052695F"/>
    <w:rsid w:val="005302C8"/>
    <w:rsid w:val="00545DAD"/>
    <w:rsid w:val="005634E9"/>
    <w:rsid w:val="00565147"/>
    <w:rsid w:val="00586DF9"/>
    <w:rsid w:val="005A3907"/>
    <w:rsid w:val="005B12AC"/>
    <w:rsid w:val="005C2821"/>
    <w:rsid w:val="005E1C97"/>
    <w:rsid w:val="005E7FA4"/>
    <w:rsid w:val="005F1186"/>
    <w:rsid w:val="00603B86"/>
    <w:rsid w:val="00612472"/>
    <w:rsid w:val="0061379C"/>
    <w:rsid w:val="006150C1"/>
    <w:rsid w:val="00616682"/>
    <w:rsid w:val="006172B0"/>
    <w:rsid w:val="006275B4"/>
    <w:rsid w:val="00627FF7"/>
    <w:rsid w:val="006307C9"/>
    <w:rsid w:val="00634C73"/>
    <w:rsid w:val="0063645F"/>
    <w:rsid w:val="006370D5"/>
    <w:rsid w:val="00661AAB"/>
    <w:rsid w:val="00672FE8"/>
    <w:rsid w:val="00676CAD"/>
    <w:rsid w:val="006868BB"/>
    <w:rsid w:val="00686932"/>
    <w:rsid w:val="00693A07"/>
    <w:rsid w:val="006A530E"/>
    <w:rsid w:val="006B4E65"/>
    <w:rsid w:val="006B7FE2"/>
    <w:rsid w:val="006D0267"/>
    <w:rsid w:val="006D0904"/>
    <w:rsid w:val="006D16A7"/>
    <w:rsid w:val="006E763E"/>
    <w:rsid w:val="006F1946"/>
    <w:rsid w:val="006F55E4"/>
    <w:rsid w:val="007024FE"/>
    <w:rsid w:val="0075294E"/>
    <w:rsid w:val="0075764B"/>
    <w:rsid w:val="0076531F"/>
    <w:rsid w:val="007669AB"/>
    <w:rsid w:val="00775871"/>
    <w:rsid w:val="0079175E"/>
    <w:rsid w:val="00794BCD"/>
    <w:rsid w:val="007A1E33"/>
    <w:rsid w:val="007A6541"/>
    <w:rsid w:val="007C664C"/>
    <w:rsid w:val="007E7E84"/>
    <w:rsid w:val="00815678"/>
    <w:rsid w:val="008163F4"/>
    <w:rsid w:val="00831BCC"/>
    <w:rsid w:val="0084699F"/>
    <w:rsid w:val="00850FCB"/>
    <w:rsid w:val="00854C29"/>
    <w:rsid w:val="00862634"/>
    <w:rsid w:val="00862C11"/>
    <w:rsid w:val="00887D3D"/>
    <w:rsid w:val="008A6F4F"/>
    <w:rsid w:val="008B4C41"/>
    <w:rsid w:val="008C77EF"/>
    <w:rsid w:val="008F56E5"/>
    <w:rsid w:val="008F62E6"/>
    <w:rsid w:val="00905058"/>
    <w:rsid w:val="00921B6D"/>
    <w:rsid w:val="009341CD"/>
    <w:rsid w:val="009355D4"/>
    <w:rsid w:val="0093761F"/>
    <w:rsid w:val="00942422"/>
    <w:rsid w:val="00964EC8"/>
    <w:rsid w:val="00971644"/>
    <w:rsid w:val="00975BEB"/>
    <w:rsid w:val="009760D7"/>
    <w:rsid w:val="00992627"/>
    <w:rsid w:val="00994FC1"/>
    <w:rsid w:val="009D1764"/>
    <w:rsid w:val="009D47C6"/>
    <w:rsid w:val="00A0154B"/>
    <w:rsid w:val="00A03C0A"/>
    <w:rsid w:val="00A06555"/>
    <w:rsid w:val="00A243D6"/>
    <w:rsid w:val="00A301F9"/>
    <w:rsid w:val="00A317EF"/>
    <w:rsid w:val="00A32673"/>
    <w:rsid w:val="00A37C18"/>
    <w:rsid w:val="00A67FE3"/>
    <w:rsid w:val="00A70F0C"/>
    <w:rsid w:val="00A95D56"/>
    <w:rsid w:val="00A9669C"/>
    <w:rsid w:val="00AA2606"/>
    <w:rsid w:val="00AA419E"/>
    <w:rsid w:val="00AB13EE"/>
    <w:rsid w:val="00AC77AC"/>
    <w:rsid w:val="00AE7E6E"/>
    <w:rsid w:val="00B13FDE"/>
    <w:rsid w:val="00B17D0E"/>
    <w:rsid w:val="00B63664"/>
    <w:rsid w:val="00B6573C"/>
    <w:rsid w:val="00B8385D"/>
    <w:rsid w:val="00B9033F"/>
    <w:rsid w:val="00B92ACA"/>
    <w:rsid w:val="00BB0533"/>
    <w:rsid w:val="00BC18D7"/>
    <w:rsid w:val="00BC2474"/>
    <w:rsid w:val="00BC4A29"/>
    <w:rsid w:val="00BD1216"/>
    <w:rsid w:val="00C1142A"/>
    <w:rsid w:val="00C15291"/>
    <w:rsid w:val="00C36885"/>
    <w:rsid w:val="00C44F6A"/>
    <w:rsid w:val="00C542F4"/>
    <w:rsid w:val="00C67338"/>
    <w:rsid w:val="00C752EB"/>
    <w:rsid w:val="00CA0846"/>
    <w:rsid w:val="00CB0D98"/>
    <w:rsid w:val="00CF48BE"/>
    <w:rsid w:val="00D07664"/>
    <w:rsid w:val="00D173C0"/>
    <w:rsid w:val="00D32458"/>
    <w:rsid w:val="00D36921"/>
    <w:rsid w:val="00D4013A"/>
    <w:rsid w:val="00D40B29"/>
    <w:rsid w:val="00D50C71"/>
    <w:rsid w:val="00D52F23"/>
    <w:rsid w:val="00D70266"/>
    <w:rsid w:val="00D70A87"/>
    <w:rsid w:val="00D73ADF"/>
    <w:rsid w:val="00DA0176"/>
    <w:rsid w:val="00DA30C3"/>
    <w:rsid w:val="00DC3E07"/>
    <w:rsid w:val="00DD657C"/>
    <w:rsid w:val="00E07DE4"/>
    <w:rsid w:val="00E11B33"/>
    <w:rsid w:val="00E25A09"/>
    <w:rsid w:val="00E373DE"/>
    <w:rsid w:val="00E54D0C"/>
    <w:rsid w:val="00E551A0"/>
    <w:rsid w:val="00E75D46"/>
    <w:rsid w:val="00E77464"/>
    <w:rsid w:val="00E93BFA"/>
    <w:rsid w:val="00EA6170"/>
    <w:rsid w:val="00EA77C2"/>
    <w:rsid w:val="00EB47EA"/>
    <w:rsid w:val="00EC604F"/>
    <w:rsid w:val="00ED0865"/>
    <w:rsid w:val="00ED105B"/>
    <w:rsid w:val="00ED3850"/>
    <w:rsid w:val="00ED484C"/>
    <w:rsid w:val="00ED53BE"/>
    <w:rsid w:val="00F06C4B"/>
    <w:rsid w:val="00F078C7"/>
    <w:rsid w:val="00F26A4F"/>
    <w:rsid w:val="00F32446"/>
    <w:rsid w:val="00F3300E"/>
    <w:rsid w:val="00F93F2A"/>
    <w:rsid w:val="00F9653B"/>
    <w:rsid w:val="00F9653C"/>
    <w:rsid w:val="00FA13A9"/>
    <w:rsid w:val="00FB61CD"/>
    <w:rsid w:val="00FC4913"/>
    <w:rsid w:val="00FC4ABF"/>
    <w:rsid w:val="00FD053A"/>
    <w:rsid w:val="00FD3A73"/>
    <w:rsid w:val="00FD4D20"/>
    <w:rsid w:val="00FE55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300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75C7"/>
    <w:pPr>
      <w:spacing w:before="200" w:after="200" w:line="276" w:lineRule="auto"/>
    </w:pPr>
    <w:rPr>
      <w:rFonts w:eastAsia="Times New Roman" w:cs="Calibri"/>
      <w:sz w:val="20"/>
      <w:szCs w:val="20"/>
      <w:lang w:val="en-NZ"/>
    </w:rPr>
  </w:style>
  <w:style w:type="paragraph" w:styleId="Heading1">
    <w:name w:val="heading 1"/>
    <w:basedOn w:val="Normal"/>
    <w:next w:val="Normal"/>
    <w:link w:val="Heading1Char"/>
    <w:uiPriority w:val="99"/>
    <w:qFormat/>
    <w:rsid w:val="003D75C7"/>
    <w:pPr>
      <w:pBdr>
        <w:top w:val="single" w:sz="24" w:space="0" w:color="4F81BD"/>
        <w:left w:val="single" w:sz="24" w:space="0" w:color="4F81BD"/>
        <w:bottom w:val="single" w:sz="24" w:space="0" w:color="4F81BD"/>
        <w:right w:val="single" w:sz="24" w:space="0" w:color="4F81BD"/>
      </w:pBdr>
      <w:shd w:val="clear" w:color="auto" w:fill="4F81BD"/>
      <w:spacing w:after="0"/>
      <w:outlineLvl w:val="0"/>
    </w:pPr>
    <w:rPr>
      <w:b/>
      <w:bCs/>
      <w:caps/>
      <w:color w:val="FFFFFF"/>
      <w:spacing w:val="15"/>
      <w:sz w:val="22"/>
      <w:szCs w:val="22"/>
    </w:rPr>
  </w:style>
  <w:style w:type="paragraph" w:styleId="Heading2">
    <w:name w:val="heading 2"/>
    <w:basedOn w:val="Normal"/>
    <w:next w:val="Normal"/>
    <w:link w:val="Heading2Char"/>
    <w:uiPriority w:val="99"/>
    <w:qFormat/>
    <w:rsid w:val="003D75C7"/>
    <w:pPr>
      <w:pBdr>
        <w:top w:val="single" w:sz="24" w:space="0" w:color="DBE5F1"/>
        <w:left w:val="single" w:sz="24" w:space="0" w:color="DBE5F1"/>
        <w:bottom w:val="single" w:sz="24" w:space="0" w:color="DBE5F1"/>
        <w:right w:val="single" w:sz="24" w:space="0" w:color="DBE5F1"/>
      </w:pBdr>
      <w:shd w:val="clear" w:color="auto" w:fill="DBE5F1"/>
      <w:spacing w:after="0"/>
      <w:outlineLvl w:val="1"/>
    </w:pPr>
    <w:rPr>
      <w:caps/>
      <w:spacing w:val="15"/>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D75C7"/>
    <w:rPr>
      <w:rFonts w:ascii="Calibri" w:hAnsi="Calibri" w:cs="Calibri"/>
      <w:b/>
      <w:bCs/>
      <w:caps/>
      <w:color w:val="FFFFFF"/>
      <w:spacing w:val="15"/>
      <w:shd w:val="clear" w:color="auto" w:fill="4F81BD"/>
      <w:lang w:val="en-NZ"/>
    </w:rPr>
  </w:style>
  <w:style w:type="character" w:customStyle="1" w:styleId="Heading2Char">
    <w:name w:val="Heading 2 Char"/>
    <w:basedOn w:val="DefaultParagraphFont"/>
    <w:link w:val="Heading2"/>
    <w:uiPriority w:val="99"/>
    <w:locked/>
    <w:rsid w:val="003D75C7"/>
    <w:rPr>
      <w:rFonts w:ascii="Calibri" w:hAnsi="Calibri" w:cs="Calibri"/>
      <w:caps/>
      <w:spacing w:val="15"/>
      <w:shd w:val="clear" w:color="auto" w:fill="DBE5F1"/>
      <w:lang w:val="en-NZ"/>
    </w:rPr>
  </w:style>
  <w:style w:type="paragraph" w:styleId="Header">
    <w:name w:val="header"/>
    <w:basedOn w:val="Normal"/>
    <w:link w:val="HeaderChar"/>
    <w:uiPriority w:val="99"/>
    <w:rsid w:val="003D75C7"/>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3D75C7"/>
    <w:rPr>
      <w:rFonts w:ascii="Calibri" w:hAnsi="Calibri" w:cs="Calibri"/>
      <w:sz w:val="20"/>
      <w:szCs w:val="20"/>
      <w:lang w:val="en-NZ"/>
    </w:rPr>
  </w:style>
  <w:style w:type="paragraph" w:styleId="Footer">
    <w:name w:val="footer"/>
    <w:basedOn w:val="Normal"/>
    <w:link w:val="FooterChar"/>
    <w:uiPriority w:val="99"/>
    <w:rsid w:val="003D75C7"/>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3D75C7"/>
    <w:rPr>
      <w:rFonts w:ascii="Calibri" w:hAnsi="Calibri" w:cs="Calibri"/>
      <w:sz w:val="20"/>
      <w:szCs w:val="20"/>
      <w:lang w:val="en-NZ"/>
    </w:rPr>
  </w:style>
  <w:style w:type="paragraph" w:styleId="Title">
    <w:name w:val="Title"/>
    <w:basedOn w:val="Normal"/>
    <w:next w:val="Normal"/>
    <w:link w:val="TitleChar"/>
    <w:uiPriority w:val="99"/>
    <w:qFormat/>
    <w:rsid w:val="003D75C7"/>
    <w:pPr>
      <w:spacing w:before="720"/>
    </w:pPr>
    <w:rPr>
      <w:caps/>
      <w:color w:val="4F81BD"/>
      <w:spacing w:val="10"/>
      <w:kern w:val="28"/>
      <w:sz w:val="52"/>
      <w:szCs w:val="52"/>
    </w:rPr>
  </w:style>
  <w:style w:type="character" w:customStyle="1" w:styleId="TitleChar">
    <w:name w:val="Title Char"/>
    <w:basedOn w:val="DefaultParagraphFont"/>
    <w:link w:val="Title"/>
    <w:uiPriority w:val="99"/>
    <w:locked/>
    <w:rsid w:val="003D75C7"/>
    <w:rPr>
      <w:rFonts w:ascii="Calibri" w:hAnsi="Calibri" w:cs="Calibri"/>
      <w:caps/>
      <w:color w:val="4F81BD"/>
      <w:spacing w:val="10"/>
      <w:kern w:val="28"/>
      <w:sz w:val="52"/>
      <w:szCs w:val="52"/>
      <w:lang w:val="en-NZ"/>
    </w:rPr>
  </w:style>
  <w:style w:type="paragraph" w:styleId="Caption">
    <w:name w:val="caption"/>
    <w:basedOn w:val="Normal"/>
    <w:next w:val="Normal"/>
    <w:qFormat/>
    <w:rsid w:val="00603B86"/>
    <w:rPr>
      <w:b/>
      <w:bCs/>
      <w:color w:val="365F91"/>
      <w:szCs w:val="16"/>
    </w:rPr>
  </w:style>
  <w:style w:type="character" w:styleId="Hyperlink">
    <w:name w:val="Hyperlink"/>
    <w:basedOn w:val="DefaultParagraphFont"/>
    <w:uiPriority w:val="99"/>
    <w:rsid w:val="003D75C7"/>
    <w:rPr>
      <w:color w:val="0000FF"/>
      <w:u w:val="single"/>
    </w:rPr>
  </w:style>
  <w:style w:type="paragraph" w:styleId="BalloonText">
    <w:name w:val="Balloon Text"/>
    <w:basedOn w:val="Normal"/>
    <w:link w:val="BalloonTextChar"/>
    <w:uiPriority w:val="99"/>
    <w:semiHidden/>
    <w:rsid w:val="003D75C7"/>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D75C7"/>
    <w:rPr>
      <w:rFonts w:ascii="Tahoma" w:hAnsi="Tahoma" w:cs="Tahoma"/>
      <w:sz w:val="16"/>
      <w:szCs w:val="16"/>
      <w:lang w:val="en-NZ"/>
    </w:rPr>
  </w:style>
  <w:style w:type="paragraph" w:styleId="EndnoteText">
    <w:name w:val="endnote text"/>
    <w:basedOn w:val="Normal"/>
    <w:link w:val="EndnoteTextChar"/>
    <w:uiPriority w:val="99"/>
    <w:semiHidden/>
    <w:unhideWhenUsed/>
    <w:rsid w:val="005C2821"/>
    <w:pPr>
      <w:spacing w:before="0" w:after="0" w:line="240" w:lineRule="auto"/>
    </w:pPr>
  </w:style>
  <w:style w:type="character" w:customStyle="1" w:styleId="EndnoteTextChar">
    <w:name w:val="Endnote Text Char"/>
    <w:basedOn w:val="DefaultParagraphFont"/>
    <w:link w:val="EndnoteText"/>
    <w:uiPriority w:val="99"/>
    <w:semiHidden/>
    <w:rsid w:val="005C2821"/>
    <w:rPr>
      <w:rFonts w:eastAsia="Times New Roman" w:cs="Calibri"/>
      <w:sz w:val="20"/>
      <w:szCs w:val="20"/>
      <w:lang w:val="en-NZ"/>
    </w:rPr>
  </w:style>
  <w:style w:type="character" w:styleId="EndnoteReference">
    <w:name w:val="endnote reference"/>
    <w:basedOn w:val="DefaultParagraphFont"/>
    <w:uiPriority w:val="99"/>
    <w:semiHidden/>
    <w:unhideWhenUsed/>
    <w:rsid w:val="005C2821"/>
    <w:rPr>
      <w:vertAlign w:val="superscript"/>
    </w:rPr>
  </w:style>
  <w:style w:type="table" w:styleId="TableGrid">
    <w:name w:val="Table Grid"/>
    <w:basedOn w:val="TableNormal"/>
    <w:locked/>
    <w:rsid w:val="00BC247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C597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75C7"/>
    <w:pPr>
      <w:spacing w:before="200" w:after="200" w:line="276" w:lineRule="auto"/>
    </w:pPr>
    <w:rPr>
      <w:rFonts w:eastAsia="Times New Roman" w:cs="Calibri"/>
      <w:sz w:val="20"/>
      <w:szCs w:val="20"/>
      <w:lang w:val="en-NZ"/>
    </w:rPr>
  </w:style>
  <w:style w:type="paragraph" w:styleId="Heading1">
    <w:name w:val="heading 1"/>
    <w:basedOn w:val="Normal"/>
    <w:next w:val="Normal"/>
    <w:link w:val="Heading1Char"/>
    <w:uiPriority w:val="99"/>
    <w:qFormat/>
    <w:rsid w:val="003D75C7"/>
    <w:pPr>
      <w:pBdr>
        <w:top w:val="single" w:sz="24" w:space="0" w:color="4F81BD"/>
        <w:left w:val="single" w:sz="24" w:space="0" w:color="4F81BD"/>
        <w:bottom w:val="single" w:sz="24" w:space="0" w:color="4F81BD"/>
        <w:right w:val="single" w:sz="24" w:space="0" w:color="4F81BD"/>
      </w:pBdr>
      <w:shd w:val="clear" w:color="auto" w:fill="4F81BD"/>
      <w:spacing w:after="0"/>
      <w:outlineLvl w:val="0"/>
    </w:pPr>
    <w:rPr>
      <w:b/>
      <w:bCs/>
      <w:caps/>
      <w:color w:val="FFFFFF"/>
      <w:spacing w:val="15"/>
      <w:sz w:val="22"/>
      <w:szCs w:val="22"/>
    </w:rPr>
  </w:style>
  <w:style w:type="paragraph" w:styleId="Heading2">
    <w:name w:val="heading 2"/>
    <w:basedOn w:val="Normal"/>
    <w:next w:val="Normal"/>
    <w:link w:val="Heading2Char"/>
    <w:uiPriority w:val="99"/>
    <w:qFormat/>
    <w:rsid w:val="003D75C7"/>
    <w:pPr>
      <w:pBdr>
        <w:top w:val="single" w:sz="24" w:space="0" w:color="DBE5F1"/>
        <w:left w:val="single" w:sz="24" w:space="0" w:color="DBE5F1"/>
        <w:bottom w:val="single" w:sz="24" w:space="0" w:color="DBE5F1"/>
        <w:right w:val="single" w:sz="24" w:space="0" w:color="DBE5F1"/>
      </w:pBdr>
      <w:shd w:val="clear" w:color="auto" w:fill="DBE5F1"/>
      <w:spacing w:after="0"/>
      <w:outlineLvl w:val="1"/>
    </w:pPr>
    <w:rPr>
      <w:caps/>
      <w:spacing w:val="15"/>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D75C7"/>
    <w:rPr>
      <w:rFonts w:ascii="Calibri" w:hAnsi="Calibri" w:cs="Calibri"/>
      <w:b/>
      <w:bCs/>
      <w:caps/>
      <w:color w:val="FFFFFF"/>
      <w:spacing w:val="15"/>
      <w:shd w:val="clear" w:color="auto" w:fill="4F81BD"/>
      <w:lang w:val="en-NZ"/>
    </w:rPr>
  </w:style>
  <w:style w:type="character" w:customStyle="1" w:styleId="Heading2Char">
    <w:name w:val="Heading 2 Char"/>
    <w:basedOn w:val="DefaultParagraphFont"/>
    <w:link w:val="Heading2"/>
    <w:uiPriority w:val="99"/>
    <w:locked/>
    <w:rsid w:val="003D75C7"/>
    <w:rPr>
      <w:rFonts w:ascii="Calibri" w:hAnsi="Calibri" w:cs="Calibri"/>
      <w:caps/>
      <w:spacing w:val="15"/>
      <w:shd w:val="clear" w:color="auto" w:fill="DBE5F1"/>
      <w:lang w:val="en-NZ"/>
    </w:rPr>
  </w:style>
  <w:style w:type="paragraph" w:styleId="Header">
    <w:name w:val="header"/>
    <w:basedOn w:val="Normal"/>
    <w:link w:val="HeaderChar"/>
    <w:uiPriority w:val="99"/>
    <w:rsid w:val="003D75C7"/>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3D75C7"/>
    <w:rPr>
      <w:rFonts w:ascii="Calibri" w:hAnsi="Calibri" w:cs="Calibri"/>
      <w:sz w:val="20"/>
      <w:szCs w:val="20"/>
      <w:lang w:val="en-NZ"/>
    </w:rPr>
  </w:style>
  <w:style w:type="paragraph" w:styleId="Footer">
    <w:name w:val="footer"/>
    <w:basedOn w:val="Normal"/>
    <w:link w:val="FooterChar"/>
    <w:uiPriority w:val="99"/>
    <w:rsid w:val="003D75C7"/>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3D75C7"/>
    <w:rPr>
      <w:rFonts w:ascii="Calibri" w:hAnsi="Calibri" w:cs="Calibri"/>
      <w:sz w:val="20"/>
      <w:szCs w:val="20"/>
      <w:lang w:val="en-NZ"/>
    </w:rPr>
  </w:style>
  <w:style w:type="paragraph" w:styleId="Title">
    <w:name w:val="Title"/>
    <w:basedOn w:val="Normal"/>
    <w:next w:val="Normal"/>
    <w:link w:val="TitleChar"/>
    <w:uiPriority w:val="99"/>
    <w:qFormat/>
    <w:rsid w:val="003D75C7"/>
    <w:pPr>
      <w:spacing w:before="720"/>
    </w:pPr>
    <w:rPr>
      <w:caps/>
      <w:color w:val="4F81BD"/>
      <w:spacing w:val="10"/>
      <w:kern w:val="28"/>
      <w:sz w:val="52"/>
      <w:szCs w:val="52"/>
    </w:rPr>
  </w:style>
  <w:style w:type="character" w:customStyle="1" w:styleId="TitleChar">
    <w:name w:val="Title Char"/>
    <w:basedOn w:val="DefaultParagraphFont"/>
    <w:link w:val="Title"/>
    <w:uiPriority w:val="99"/>
    <w:locked/>
    <w:rsid w:val="003D75C7"/>
    <w:rPr>
      <w:rFonts w:ascii="Calibri" w:hAnsi="Calibri" w:cs="Calibri"/>
      <w:caps/>
      <w:color w:val="4F81BD"/>
      <w:spacing w:val="10"/>
      <w:kern w:val="28"/>
      <w:sz w:val="52"/>
      <w:szCs w:val="52"/>
      <w:lang w:val="en-NZ"/>
    </w:rPr>
  </w:style>
  <w:style w:type="paragraph" w:styleId="Caption">
    <w:name w:val="caption"/>
    <w:basedOn w:val="Normal"/>
    <w:next w:val="Normal"/>
    <w:qFormat/>
    <w:rsid w:val="00603B86"/>
    <w:rPr>
      <w:b/>
      <w:bCs/>
      <w:color w:val="365F91"/>
      <w:szCs w:val="16"/>
    </w:rPr>
  </w:style>
  <w:style w:type="character" w:styleId="Hyperlink">
    <w:name w:val="Hyperlink"/>
    <w:basedOn w:val="DefaultParagraphFont"/>
    <w:uiPriority w:val="99"/>
    <w:rsid w:val="003D75C7"/>
    <w:rPr>
      <w:color w:val="0000FF"/>
      <w:u w:val="single"/>
    </w:rPr>
  </w:style>
  <w:style w:type="paragraph" w:styleId="BalloonText">
    <w:name w:val="Balloon Text"/>
    <w:basedOn w:val="Normal"/>
    <w:link w:val="BalloonTextChar"/>
    <w:uiPriority w:val="99"/>
    <w:semiHidden/>
    <w:rsid w:val="003D75C7"/>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D75C7"/>
    <w:rPr>
      <w:rFonts w:ascii="Tahoma" w:hAnsi="Tahoma" w:cs="Tahoma"/>
      <w:sz w:val="16"/>
      <w:szCs w:val="16"/>
      <w:lang w:val="en-NZ"/>
    </w:rPr>
  </w:style>
  <w:style w:type="paragraph" w:styleId="EndnoteText">
    <w:name w:val="endnote text"/>
    <w:basedOn w:val="Normal"/>
    <w:link w:val="EndnoteTextChar"/>
    <w:uiPriority w:val="99"/>
    <w:semiHidden/>
    <w:unhideWhenUsed/>
    <w:rsid w:val="005C2821"/>
    <w:pPr>
      <w:spacing w:before="0" w:after="0" w:line="240" w:lineRule="auto"/>
    </w:pPr>
  </w:style>
  <w:style w:type="character" w:customStyle="1" w:styleId="EndnoteTextChar">
    <w:name w:val="Endnote Text Char"/>
    <w:basedOn w:val="DefaultParagraphFont"/>
    <w:link w:val="EndnoteText"/>
    <w:uiPriority w:val="99"/>
    <w:semiHidden/>
    <w:rsid w:val="005C2821"/>
    <w:rPr>
      <w:rFonts w:eastAsia="Times New Roman" w:cs="Calibri"/>
      <w:sz w:val="20"/>
      <w:szCs w:val="20"/>
      <w:lang w:val="en-NZ"/>
    </w:rPr>
  </w:style>
  <w:style w:type="character" w:styleId="EndnoteReference">
    <w:name w:val="endnote reference"/>
    <w:basedOn w:val="DefaultParagraphFont"/>
    <w:uiPriority w:val="99"/>
    <w:semiHidden/>
    <w:unhideWhenUsed/>
    <w:rsid w:val="005C2821"/>
    <w:rPr>
      <w:vertAlign w:val="superscript"/>
    </w:rPr>
  </w:style>
  <w:style w:type="table" w:styleId="TableGrid">
    <w:name w:val="Table Grid"/>
    <w:basedOn w:val="TableNormal"/>
    <w:locked/>
    <w:rsid w:val="00BC247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C59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277033">
      <w:bodyDiv w:val="1"/>
      <w:marLeft w:val="0"/>
      <w:marRight w:val="0"/>
      <w:marTop w:val="0"/>
      <w:marBottom w:val="0"/>
      <w:divBdr>
        <w:top w:val="none" w:sz="0" w:space="0" w:color="auto"/>
        <w:left w:val="none" w:sz="0" w:space="0" w:color="auto"/>
        <w:bottom w:val="none" w:sz="0" w:space="0" w:color="auto"/>
        <w:right w:val="none" w:sz="0" w:space="0" w:color="auto"/>
      </w:divBdr>
    </w:div>
    <w:div w:id="310328105">
      <w:bodyDiv w:val="1"/>
      <w:marLeft w:val="0"/>
      <w:marRight w:val="0"/>
      <w:marTop w:val="0"/>
      <w:marBottom w:val="0"/>
      <w:divBdr>
        <w:top w:val="none" w:sz="0" w:space="0" w:color="auto"/>
        <w:left w:val="none" w:sz="0" w:space="0" w:color="auto"/>
        <w:bottom w:val="none" w:sz="0" w:space="0" w:color="auto"/>
        <w:right w:val="none" w:sz="0" w:space="0" w:color="auto"/>
      </w:divBdr>
    </w:div>
    <w:div w:id="372653993">
      <w:bodyDiv w:val="1"/>
      <w:marLeft w:val="0"/>
      <w:marRight w:val="0"/>
      <w:marTop w:val="0"/>
      <w:marBottom w:val="0"/>
      <w:divBdr>
        <w:top w:val="none" w:sz="0" w:space="0" w:color="auto"/>
        <w:left w:val="none" w:sz="0" w:space="0" w:color="auto"/>
        <w:bottom w:val="none" w:sz="0" w:space="0" w:color="auto"/>
        <w:right w:val="none" w:sz="0" w:space="0" w:color="auto"/>
      </w:divBdr>
    </w:div>
    <w:div w:id="544372794">
      <w:bodyDiv w:val="1"/>
      <w:marLeft w:val="0"/>
      <w:marRight w:val="0"/>
      <w:marTop w:val="0"/>
      <w:marBottom w:val="0"/>
      <w:divBdr>
        <w:top w:val="none" w:sz="0" w:space="0" w:color="auto"/>
        <w:left w:val="none" w:sz="0" w:space="0" w:color="auto"/>
        <w:bottom w:val="none" w:sz="0" w:space="0" w:color="auto"/>
        <w:right w:val="none" w:sz="0" w:space="0" w:color="auto"/>
      </w:divBdr>
    </w:div>
    <w:div w:id="638338080">
      <w:bodyDiv w:val="1"/>
      <w:marLeft w:val="0"/>
      <w:marRight w:val="0"/>
      <w:marTop w:val="0"/>
      <w:marBottom w:val="0"/>
      <w:divBdr>
        <w:top w:val="none" w:sz="0" w:space="0" w:color="auto"/>
        <w:left w:val="none" w:sz="0" w:space="0" w:color="auto"/>
        <w:bottom w:val="none" w:sz="0" w:space="0" w:color="auto"/>
        <w:right w:val="none" w:sz="0" w:space="0" w:color="auto"/>
      </w:divBdr>
    </w:div>
    <w:div w:id="760879085">
      <w:bodyDiv w:val="1"/>
      <w:marLeft w:val="0"/>
      <w:marRight w:val="0"/>
      <w:marTop w:val="0"/>
      <w:marBottom w:val="0"/>
      <w:divBdr>
        <w:top w:val="none" w:sz="0" w:space="0" w:color="auto"/>
        <w:left w:val="none" w:sz="0" w:space="0" w:color="auto"/>
        <w:bottom w:val="none" w:sz="0" w:space="0" w:color="auto"/>
        <w:right w:val="none" w:sz="0" w:space="0" w:color="auto"/>
      </w:divBdr>
    </w:div>
    <w:div w:id="808593909">
      <w:bodyDiv w:val="1"/>
      <w:marLeft w:val="0"/>
      <w:marRight w:val="0"/>
      <w:marTop w:val="0"/>
      <w:marBottom w:val="0"/>
      <w:divBdr>
        <w:top w:val="none" w:sz="0" w:space="0" w:color="auto"/>
        <w:left w:val="none" w:sz="0" w:space="0" w:color="auto"/>
        <w:bottom w:val="none" w:sz="0" w:space="0" w:color="auto"/>
        <w:right w:val="none" w:sz="0" w:space="0" w:color="auto"/>
      </w:divBdr>
    </w:div>
    <w:div w:id="819613314">
      <w:bodyDiv w:val="1"/>
      <w:marLeft w:val="0"/>
      <w:marRight w:val="0"/>
      <w:marTop w:val="0"/>
      <w:marBottom w:val="0"/>
      <w:divBdr>
        <w:top w:val="none" w:sz="0" w:space="0" w:color="auto"/>
        <w:left w:val="none" w:sz="0" w:space="0" w:color="auto"/>
        <w:bottom w:val="none" w:sz="0" w:space="0" w:color="auto"/>
        <w:right w:val="none" w:sz="0" w:space="0" w:color="auto"/>
      </w:divBdr>
    </w:div>
    <w:div w:id="852916470">
      <w:bodyDiv w:val="1"/>
      <w:marLeft w:val="0"/>
      <w:marRight w:val="0"/>
      <w:marTop w:val="0"/>
      <w:marBottom w:val="0"/>
      <w:divBdr>
        <w:top w:val="none" w:sz="0" w:space="0" w:color="auto"/>
        <w:left w:val="none" w:sz="0" w:space="0" w:color="auto"/>
        <w:bottom w:val="none" w:sz="0" w:space="0" w:color="auto"/>
        <w:right w:val="none" w:sz="0" w:space="0" w:color="auto"/>
      </w:divBdr>
    </w:div>
    <w:div w:id="919293316">
      <w:bodyDiv w:val="1"/>
      <w:marLeft w:val="0"/>
      <w:marRight w:val="0"/>
      <w:marTop w:val="0"/>
      <w:marBottom w:val="0"/>
      <w:divBdr>
        <w:top w:val="none" w:sz="0" w:space="0" w:color="auto"/>
        <w:left w:val="none" w:sz="0" w:space="0" w:color="auto"/>
        <w:bottom w:val="none" w:sz="0" w:space="0" w:color="auto"/>
        <w:right w:val="none" w:sz="0" w:space="0" w:color="auto"/>
      </w:divBdr>
    </w:div>
    <w:div w:id="998121823">
      <w:bodyDiv w:val="1"/>
      <w:marLeft w:val="0"/>
      <w:marRight w:val="0"/>
      <w:marTop w:val="0"/>
      <w:marBottom w:val="0"/>
      <w:divBdr>
        <w:top w:val="none" w:sz="0" w:space="0" w:color="auto"/>
        <w:left w:val="none" w:sz="0" w:space="0" w:color="auto"/>
        <w:bottom w:val="none" w:sz="0" w:space="0" w:color="auto"/>
        <w:right w:val="none" w:sz="0" w:space="0" w:color="auto"/>
      </w:divBdr>
    </w:div>
    <w:div w:id="1110469555">
      <w:bodyDiv w:val="1"/>
      <w:marLeft w:val="0"/>
      <w:marRight w:val="0"/>
      <w:marTop w:val="0"/>
      <w:marBottom w:val="0"/>
      <w:divBdr>
        <w:top w:val="none" w:sz="0" w:space="0" w:color="auto"/>
        <w:left w:val="none" w:sz="0" w:space="0" w:color="auto"/>
        <w:bottom w:val="none" w:sz="0" w:space="0" w:color="auto"/>
        <w:right w:val="none" w:sz="0" w:space="0" w:color="auto"/>
      </w:divBdr>
    </w:div>
    <w:div w:id="1193497875">
      <w:bodyDiv w:val="1"/>
      <w:marLeft w:val="0"/>
      <w:marRight w:val="0"/>
      <w:marTop w:val="0"/>
      <w:marBottom w:val="0"/>
      <w:divBdr>
        <w:top w:val="none" w:sz="0" w:space="0" w:color="auto"/>
        <w:left w:val="none" w:sz="0" w:space="0" w:color="auto"/>
        <w:bottom w:val="none" w:sz="0" w:space="0" w:color="auto"/>
        <w:right w:val="none" w:sz="0" w:space="0" w:color="auto"/>
      </w:divBdr>
    </w:div>
    <w:div w:id="1253121598">
      <w:bodyDiv w:val="1"/>
      <w:marLeft w:val="0"/>
      <w:marRight w:val="0"/>
      <w:marTop w:val="0"/>
      <w:marBottom w:val="0"/>
      <w:divBdr>
        <w:top w:val="none" w:sz="0" w:space="0" w:color="auto"/>
        <w:left w:val="none" w:sz="0" w:space="0" w:color="auto"/>
        <w:bottom w:val="none" w:sz="0" w:space="0" w:color="auto"/>
        <w:right w:val="none" w:sz="0" w:space="0" w:color="auto"/>
      </w:divBdr>
    </w:div>
    <w:div w:id="1272395986">
      <w:bodyDiv w:val="1"/>
      <w:marLeft w:val="0"/>
      <w:marRight w:val="0"/>
      <w:marTop w:val="0"/>
      <w:marBottom w:val="0"/>
      <w:divBdr>
        <w:top w:val="none" w:sz="0" w:space="0" w:color="auto"/>
        <w:left w:val="none" w:sz="0" w:space="0" w:color="auto"/>
        <w:bottom w:val="none" w:sz="0" w:space="0" w:color="auto"/>
        <w:right w:val="none" w:sz="0" w:space="0" w:color="auto"/>
      </w:divBdr>
    </w:div>
    <w:div w:id="1342779071">
      <w:bodyDiv w:val="1"/>
      <w:marLeft w:val="0"/>
      <w:marRight w:val="0"/>
      <w:marTop w:val="0"/>
      <w:marBottom w:val="0"/>
      <w:divBdr>
        <w:top w:val="none" w:sz="0" w:space="0" w:color="auto"/>
        <w:left w:val="none" w:sz="0" w:space="0" w:color="auto"/>
        <w:bottom w:val="none" w:sz="0" w:space="0" w:color="auto"/>
        <w:right w:val="none" w:sz="0" w:space="0" w:color="auto"/>
      </w:divBdr>
    </w:div>
    <w:div w:id="1480153377">
      <w:bodyDiv w:val="1"/>
      <w:marLeft w:val="0"/>
      <w:marRight w:val="0"/>
      <w:marTop w:val="0"/>
      <w:marBottom w:val="0"/>
      <w:divBdr>
        <w:top w:val="none" w:sz="0" w:space="0" w:color="auto"/>
        <w:left w:val="none" w:sz="0" w:space="0" w:color="auto"/>
        <w:bottom w:val="none" w:sz="0" w:space="0" w:color="auto"/>
        <w:right w:val="none" w:sz="0" w:space="0" w:color="auto"/>
      </w:divBdr>
    </w:div>
    <w:div w:id="1494876550">
      <w:bodyDiv w:val="1"/>
      <w:marLeft w:val="0"/>
      <w:marRight w:val="0"/>
      <w:marTop w:val="0"/>
      <w:marBottom w:val="0"/>
      <w:divBdr>
        <w:top w:val="none" w:sz="0" w:space="0" w:color="auto"/>
        <w:left w:val="none" w:sz="0" w:space="0" w:color="auto"/>
        <w:bottom w:val="none" w:sz="0" w:space="0" w:color="auto"/>
        <w:right w:val="none" w:sz="0" w:space="0" w:color="auto"/>
      </w:divBdr>
    </w:div>
    <w:div w:id="1505436263">
      <w:bodyDiv w:val="1"/>
      <w:marLeft w:val="0"/>
      <w:marRight w:val="0"/>
      <w:marTop w:val="0"/>
      <w:marBottom w:val="0"/>
      <w:divBdr>
        <w:top w:val="none" w:sz="0" w:space="0" w:color="auto"/>
        <w:left w:val="none" w:sz="0" w:space="0" w:color="auto"/>
        <w:bottom w:val="none" w:sz="0" w:space="0" w:color="auto"/>
        <w:right w:val="none" w:sz="0" w:space="0" w:color="auto"/>
      </w:divBdr>
    </w:div>
    <w:div w:id="1535191591">
      <w:bodyDiv w:val="1"/>
      <w:marLeft w:val="0"/>
      <w:marRight w:val="0"/>
      <w:marTop w:val="0"/>
      <w:marBottom w:val="0"/>
      <w:divBdr>
        <w:top w:val="none" w:sz="0" w:space="0" w:color="auto"/>
        <w:left w:val="none" w:sz="0" w:space="0" w:color="auto"/>
        <w:bottom w:val="none" w:sz="0" w:space="0" w:color="auto"/>
        <w:right w:val="none" w:sz="0" w:space="0" w:color="auto"/>
      </w:divBdr>
    </w:div>
    <w:div w:id="1577324707">
      <w:bodyDiv w:val="1"/>
      <w:marLeft w:val="0"/>
      <w:marRight w:val="0"/>
      <w:marTop w:val="0"/>
      <w:marBottom w:val="0"/>
      <w:divBdr>
        <w:top w:val="none" w:sz="0" w:space="0" w:color="auto"/>
        <w:left w:val="none" w:sz="0" w:space="0" w:color="auto"/>
        <w:bottom w:val="none" w:sz="0" w:space="0" w:color="auto"/>
        <w:right w:val="none" w:sz="0" w:space="0" w:color="auto"/>
      </w:divBdr>
    </w:div>
    <w:div w:id="1580753204">
      <w:bodyDiv w:val="1"/>
      <w:marLeft w:val="0"/>
      <w:marRight w:val="0"/>
      <w:marTop w:val="0"/>
      <w:marBottom w:val="0"/>
      <w:divBdr>
        <w:top w:val="none" w:sz="0" w:space="0" w:color="auto"/>
        <w:left w:val="none" w:sz="0" w:space="0" w:color="auto"/>
        <w:bottom w:val="none" w:sz="0" w:space="0" w:color="auto"/>
        <w:right w:val="none" w:sz="0" w:space="0" w:color="auto"/>
      </w:divBdr>
    </w:div>
    <w:div w:id="1667897543">
      <w:bodyDiv w:val="1"/>
      <w:marLeft w:val="0"/>
      <w:marRight w:val="0"/>
      <w:marTop w:val="0"/>
      <w:marBottom w:val="0"/>
      <w:divBdr>
        <w:top w:val="none" w:sz="0" w:space="0" w:color="auto"/>
        <w:left w:val="none" w:sz="0" w:space="0" w:color="auto"/>
        <w:bottom w:val="none" w:sz="0" w:space="0" w:color="auto"/>
        <w:right w:val="none" w:sz="0" w:space="0" w:color="auto"/>
      </w:divBdr>
    </w:div>
    <w:div w:id="1718774494">
      <w:bodyDiv w:val="1"/>
      <w:marLeft w:val="0"/>
      <w:marRight w:val="0"/>
      <w:marTop w:val="0"/>
      <w:marBottom w:val="0"/>
      <w:divBdr>
        <w:top w:val="none" w:sz="0" w:space="0" w:color="auto"/>
        <w:left w:val="none" w:sz="0" w:space="0" w:color="auto"/>
        <w:bottom w:val="none" w:sz="0" w:space="0" w:color="auto"/>
        <w:right w:val="none" w:sz="0" w:space="0" w:color="auto"/>
      </w:divBdr>
    </w:div>
    <w:div w:id="1818381358">
      <w:bodyDiv w:val="1"/>
      <w:marLeft w:val="0"/>
      <w:marRight w:val="0"/>
      <w:marTop w:val="0"/>
      <w:marBottom w:val="0"/>
      <w:divBdr>
        <w:top w:val="none" w:sz="0" w:space="0" w:color="auto"/>
        <w:left w:val="none" w:sz="0" w:space="0" w:color="auto"/>
        <w:bottom w:val="none" w:sz="0" w:space="0" w:color="auto"/>
        <w:right w:val="none" w:sz="0" w:space="0" w:color="auto"/>
      </w:divBdr>
    </w:div>
    <w:div w:id="1837499232">
      <w:bodyDiv w:val="1"/>
      <w:marLeft w:val="0"/>
      <w:marRight w:val="0"/>
      <w:marTop w:val="0"/>
      <w:marBottom w:val="0"/>
      <w:divBdr>
        <w:top w:val="none" w:sz="0" w:space="0" w:color="auto"/>
        <w:left w:val="none" w:sz="0" w:space="0" w:color="auto"/>
        <w:bottom w:val="none" w:sz="0" w:space="0" w:color="auto"/>
        <w:right w:val="none" w:sz="0" w:space="0" w:color="auto"/>
      </w:divBdr>
    </w:div>
    <w:div w:id="1917856611">
      <w:bodyDiv w:val="1"/>
      <w:marLeft w:val="0"/>
      <w:marRight w:val="0"/>
      <w:marTop w:val="0"/>
      <w:marBottom w:val="0"/>
      <w:divBdr>
        <w:top w:val="none" w:sz="0" w:space="0" w:color="auto"/>
        <w:left w:val="none" w:sz="0" w:space="0" w:color="auto"/>
        <w:bottom w:val="none" w:sz="0" w:space="0" w:color="auto"/>
        <w:right w:val="none" w:sz="0" w:space="0" w:color="auto"/>
      </w:divBdr>
    </w:div>
    <w:div w:id="1933080949">
      <w:bodyDiv w:val="1"/>
      <w:marLeft w:val="0"/>
      <w:marRight w:val="0"/>
      <w:marTop w:val="0"/>
      <w:marBottom w:val="0"/>
      <w:divBdr>
        <w:top w:val="none" w:sz="0" w:space="0" w:color="auto"/>
        <w:left w:val="none" w:sz="0" w:space="0" w:color="auto"/>
        <w:bottom w:val="none" w:sz="0" w:space="0" w:color="auto"/>
        <w:right w:val="none" w:sz="0" w:space="0" w:color="auto"/>
      </w:divBdr>
    </w:div>
    <w:div w:id="1956249603">
      <w:bodyDiv w:val="1"/>
      <w:marLeft w:val="0"/>
      <w:marRight w:val="0"/>
      <w:marTop w:val="0"/>
      <w:marBottom w:val="0"/>
      <w:divBdr>
        <w:top w:val="none" w:sz="0" w:space="0" w:color="auto"/>
        <w:left w:val="none" w:sz="0" w:space="0" w:color="auto"/>
        <w:bottom w:val="none" w:sz="0" w:space="0" w:color="auto"/>
        <w:right w:val="none" w:sz="0" w:space="0" w:color="auto"/>
      </w:divBdr>
    </w:div>
    <w:div w:id="2026900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5.xm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chart" Target="charts/chart4.xm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2.e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3.xml"/><Relationship Id="rId5" Type="http://schemas.openxmlformats.org/officeDocument/2006/relationships/settings" Target="settings.xml"/><Relationship Id="rId15" Type="http://schemas.openxmlformats.org/officeDocument/2006/relationships/hyperlink" Target="mailto:stats@vanuatu.gov.vu" TargetMode="External"/><Relationship Id="rId10" Type="http://schemas.openxmlformats.org/officeDocument/2006/relationships/chart" Target="charts/chart2.xml"/><Relationship Id="rId19"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G"/></Relationships>
</file>

<file path=word/charts/_rels/chart1.xml.rels><?xml version="1.0" encoding="UTF-8" standalone="yes"?>
<Relationships xmlns="http://schemas.openxmlformats.org/package/2006/relationships"><Relationship Id="rId1" Type="http://schemas.openxmlformats.org/officeDocument/2006/relationships/oleObject" Target="file:///\\salmon.vangov.local\Stats-Data\DATA\Surveys\HIES2010\Report\Working_data\Chapter2_REV_FINAL.xlsx" TargetMode="External"/></Relationships>
</file>

<file path=word/charts/_rels/chart2.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salmon.vangov.local\Stats-Data\DATA\Surveys\HIES2010\Report\Working_data\Charts_Exp__Inc.xlsx" TargetMode="External"/></Relationships>
</file>

<file path=word/charts/_rels/chart3.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oleObject" Target="file:///\\salmon.vangov.local\Stats-Data\DATA\Surveys\HIES2010\Report\Working_data\box-plots-hh_exp.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salmon.vangov.local\Stats-Data\DATA\Surveys\HIES2010\Report\Working_data\Chapter2_REV_FINAL.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salmon.vangov.local\Stats-Data\DATA\Surveys\HIES2010\Report\Working_data\qry_hhold_cash_subs_exp.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NZ"/>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1"/>
    <c:plotArea>
      <c:layout>
        <c:manualLayout>
          <c:layoutTarget val="inner"/>
          <c:xMode val="edge"/>
          <c:yMode val="edge"/>
          <c:x val="0.19652777777777777"/>
          <c:y val="4.3981481481481483E-2"/>
          <c:w val="0.56527777777777777"/>
          <c:h val="0.94212962962962965"/>
        </c:manualLayout>
      </c:layout>
      <c:pieChart>
        <c:varyColors val="1"/>
        <c:ser>
          <c:idx val="0"/>
          <c:order val="0"/>
          <c:tx>
            <c:strRef>
              <c:f>Charts!$F$36</c:f>
              <c:strCache>
                <c:ptCount val="1"/>
                <c:pt idx="0">
                  <c:v>Annual</c:v>
                </c:pt>
              </c:strCache>
            </c:strRef>
          </c:tx>
          <c:dLbls>
            <c:dLbl>
              <c:idx val="0"/>
              <c:layout>
                <c:manualLayout>
                  <c:x val="3.1672326115069246E-2"/>
                  <c:y val="0.18867615268762003"/>
                </c:manualLayout>
              </c:layout>
              <c:showLegendKey val="0"/>
              <c:showVal val="0"/>
              <c:showCatName val="1"/>
              <c:showSerName val="0"/>
              <c:showPercent val="1"/>
              <c:showBubbleSize val="0"/>
            </c:dLbl>
            <c:dLbl>
              <c:idx val="1"/>
              <c:layout>
                <c:manualLayout>
                  <c:x val="-0.18587777283363252"/>
                  <c:y val="-5.3032856764382375E-3"/>
                </c:manualLayout>
              </c:layout>
              <c:showLegendKey val="0"/>
              <c:showVal val="0"/>
              <c:showCatName val="1"/>
              <c:showSerName val="0"/>
              <c:showPercent val="1"/>
              <c:showBubbleSize val="0"/>
            </c:dLbl>
            <c:dLbl>
              <c:idx val="2"/>
              <c:layout>
                <c:manualLayout>
                  <c:x val="-3.6025053845125686E-2"/>
                  <c:y val="0.24248267373427801"/>
                </c:manualLayout>
              </c:layout>
              <c:showLegendKey val="0"/>
              <c:showVal val="0"/>
              <c:showCatName val="1"/>
              <c:showSerName val="0"/>
              <c:showPercent val="1"/>
              <c:showBubbleSize val="0"/>
            </c:dLbl>
            <c:dLbl>
              <c:idx val="4"/>
              <c:layout>
                <c:manualLayout>
                  <c:x val="0.28460427004958999"/>
                  <c:y val="1.6328903705857068E-3"/>
                </c:manualLayout>
              </c:layout>
              <c:showLegendKey val="0"/>
              <c:showVal val="0"/>
              <c:showCatName val="1"/>
              <c:showSerName val="0"/>
              <c:showPercent val="1"/>
              <c:showBubbleSize val="0"/>
            </c:dLbl>
            <c:txPr>
              <a:bodyPr/>
              <a:lstStyle/>
              <a:p>
                <a:pPr>
                  <a:defRPr sz="900"/>
                </a:pPr>
                <a:endParaRPr lang="en-US"/>
              </a:p>
            </c:txPr>
            <c:showLegendKey val="0"/>
            <c:showVal val="0"/>
            <c:showCatName val="1"/>
            <c:showSerName val="0"/>
            <c:showPercent val="1"/>
            <c:showBubbleSize val="0"/>
            <c:showLeaderLines val="1"/>
            <c:leaderLines>
              <c:spPr>
                <a:ln>
                  <a:solidFill>
                    <a:schemeClr val="bg1">
                      <a:lumMod val="50000"/>
                    </a:schemeClr>
                  </a:solidFill>
                </a:ln>
              </c:spPr>
            </c:leaderLines>
          </c:dLbls>
          <c:cat>
            <c:strRef>
              <c:f>Charts!$A$37:$A$41</c:f>
              <c:strCache>
                <c:ptCount val="5"/>
                <c:pt idx="0">
                  <c:v>Wages &amp; salaries</c:v>
                </c:pt>
                <c:pt idx="1">
                  <c:v>Home consumption</c:v>
                </c:pt>
                <c:pt idx="2">
                  <c:v>Household enterprise</c:v>
                </c:pt>
                <c:pt idx="3">
                  <c:v>Gifts received</c:v>
                </c:pt>
                <c:pt idx="4">
                  <c:v>Other cash income</c:v>
                </c:pt>
              </c:strCache>
            </c:strRef>
          </c:cat>
          <c:val>
            <c:numRef>
              <c:f>Charts!$F$37:$F$41</c:f>
              <c:numCache>
                <c:formatCode>#,##0</c:formatCode>
                <c:ptCount val="5"/>
                <c:pt idx="0">
                  <c:v>19502.982</c:v>
                </c:pt>
                <c:pt idx="1">
                  <c:v>15165.557999999999</c:v>
                </c:pt>
                <c:pt idx="2">
                  <c:v>13019.613599999999</c:v>
                </c:pt>
                <c:pt idx="3">
                  <c:v>1673.268</c:v>
                </c:pt>
                <c:pt idx="4">
                  <c:v>513.00600000000009</c:v>
                </c:pt>
              </c:numCache>
            </c:numRef>
          </c:val>
        </c:ser>
        <c:dLbls>
          <c:showLegendKey val="0"/>
          <c:showVal val="0"/>
          <c:showCatName val="0"/>
          <c:showSerName val="0"/>
          <c:showPercent val="0"/>
          <c:showBubbleSize val="0"/>
          <c:showLeaderLines val="1"/>
        </c:dLbls>
        <c:firstSliceAng val="0"/>
      </c:pieChart>
    </c:plotArea>
    <c:plotVisOnly val="1"/>
    <c:dispBlanksAs val="gap"/>
    <c:showDLblsOverMax val="0"/>
  </c:chart>
  <c:spPr>
    <a:ln>
      <a:noFill/>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N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6702319853330441"/>
          <c:y val="5.1400554097404488E-2"/>
          <c:w val="0.8165749729821592"/>
          <c:h val="0.83894247594050764"/>
        </c:manualLayout>
      </c:layout>
      <c:barChart>
        <c:barDir val="col"/>
        <c:grouping val="clustered"/>
        <c:varyColors val="0"/>
        <c:ser>
          <c:idx val="1"/>
          <c:order val="1"/>
          <c:tx>
            <c:strRef>
              <c:f>'Fig_2-10'!$D$24</c:f>
              <c:strCache>
                <c:ptCount val="1"/>
                <c:pt idx="0">
                  <c:v>2010</c:v>
                </c:pt>
              </c:strCache>
            </c:strRef>
          </c:tx>
          <c:spPr>
            <a:solidFill>
              <a:schemeClr val="bg1">
                <a:lumMod val="75000"/>
              </a:schemeClr>
            </a:solidFill>
            <a:ln w="9525" cmpd="sng">
              <a:noFill/>
              <a:prstDash val="solid"/>
            </a:ln>
          </c:spPr>
          <c:invertIfNegative val="0"/>
          <c:cat>
            <c:strRef>
              <c:f>'Fig_2-10'!$A$25:$A$32</c:f>
              <c:strCache>
                <c:ptCount val="8"/>
                <c:pt idx="0">
                  <c:v>Torba</c:v>
                </c:pt>
                <c:pt idx="1">
                  <c:v>Sanma</c:v>
                </c:pt>
                <c:pt idx="2">
                  <c:v>Penama</c:v>
                </c:pt>
                <c:pt idx="3">
                  <c:v>Malampa</c:v>
                </c:pt>
                <c:pt idx="4">
                  <c:v>Shefa</c:v>
                </c:pt>
                <c:pt idx="5">
                  <c:v>Tafea</c:v>
                </c:pt>
                <c:pt idx="6">
                  <c:v>Luganville</c:v>
                </c:pt>
                <c:pt idx="7">
                  <c:v>Port Vila</c:v>
                </c:pt>
              </c:strCache>
            </c:strRef>
          </c:cat>
          <c:val>
            <c:numRef>
              <c:f>'Fig_2-10'!$D$25:$D$32</c:f>
              <c:numCache>
                <c:formatCode>#,##0</c:formatCode>
                <c:ptCount val="8"/>
                <c:pt idx="0">
                  <c:v>60600</c:v>
                </c:pt>
                <c:pt idx="1">
                  <c:v>70700</c:v>
                </c:pt>
                <c:pt idx="2">
                  <c:v>72500</c:v>
                </c:pt>
                <c:pt idx="3">
                  <c:v>57000</c:v>
                </c:pt>
                <c:pt idx="4">
                  <c:v>86300</c:v>
                </c:pt>
                <c:pt idx="5">
                  <c:v>65100</c:v>
                </c:pt>
                <c:pt idx="6">
                  <c:v>77700</c:v>
                </c:pt>
                <c:pt idx="7">
                  <c:v>102700</c:v>
                </c:pt>
              </c:numCache>
            </c:numRef>
          </c:val>
        </c:ser>
        <c:dLbls>
          <c:showLegendKey val="0"/>
          <c:showVal val="0"/>
          <c:showCatName val="0"/>
          <c:showSerName val="0"/>
          <c:showPercent val="0"/>
          <c:showBubbleSize val="0"/>
        </c:dLbls>
        <c:gapWidth val="10"/>
        <c:overlap val="100"/>
        <c:axId val="112925696"/>
        <c:axId val="112939776"/>
      </c:barChart>
      <c:barChart>
        <c:barDir val="col"/>
        <c:grouping val="clustered"/>
        <c:varyColors val="0"/>
        <c:ser>
          <c:idx val="0"/>
          <c:order val="0"/>
          <c:tx>
            <c:strRef>
              <c:f>'Fig_2-10'!$C$24</c:f>
              <c:strCache>
                <c:ptCount val="1"/>
                <c:pt idx="0">
                  <c:v>2006 (2010 Vt)</c:v>
                </c:pt>
              </c:strCache>
            </c:strRef>
          </c:tx>
          <c:spPr>
            <a:solidFill>
              <a:schemeClr val="accent6"/>
            </a:solidFill>
            <a:ln>
              <a:noFill/>
            </a:ln>
          </c:spPr>
          <c:invertIfNegative val="0"/>
          <c:val>
            <c:numRef>
              <c:f>'Fig_2-10'!$C$25:$C$32</c:f>
              <c:numCache>
                <c:formatCode>#,##0</c:formatCode>
                <c:ptCount val="8"/>
                <c:pt idx="0">
                  <c:v>38202.360582867143</c:v>
                </c:pt>
                <c:pt idx="1">
                  <c:v>47769.492982746626</c:v>
                </c:pt>
                <c:pt idx="2">
                  <c:v>62506.693451888452</c:v>
                </c:pt>
                <c:pt idx="3">
                  <c:v>52255.243681630207</c:v>
                </c:pt>
                <c:pt idx="4">
                  <c:v>64242.085576798789</c:v>
                </c:pt>
                <c:pt idx="5">
                  <c:v>50210.209594557651</c:v>
                </c:pt>
                <c:pt idx="6">
                  <c:v>78236.172791260586</c:v>
                </c:pt>
                <c:pt idx="7">
                  <c:v>105232.92345266261</c:v>
                </c:pt>
              </c:numCache>
            </c:numRef>
          </c:val>
        </c:ser>
        <c:dLbls>
          <c:showLegendKey val="0"/>
          <c:showVal val="0"/>
          <c:showCatName val="0"/>
          <c:showSerName val="0"/>
          <c:showPercent val="0"/>
          <c:showBubbleSize val="0"/>
        </c:dLbls>
        <c:gapWidth val="150"/>
        <c:overlap val="100"/>
        <c:axId val="112947584"/>
        <c:axId val="112941696"/>
      </c:barChart>
      <c:catAx>
        <c:axId val="112925696"/>
        <c:scaling>
          <c:orientation val="minMax"/>
        </c:scaling>
        <c:delete val="0"/>
        <c:axPos val="b"/>
        <c:majorTickMark val="none"/>
        <c:minorTickMark val="none"/>
        <c:tickLblPos val="nextTo"/>
        <c:crossAx val="112939776"/>
        <c:crosses val="autoZero"/>
        <c:auto val="1"/>
        <c:lblAlgn val="ctr"/>
        <c:lblOffset val="100"/>
        <c:noMultiLvlLbl val="0"/>
      </c:catAx>
      <c:valAx>
        <c:axId val="112939776"/>
        <c:scaling>
          <c:orientation val="minMax"/>
        </c:scaling>
        <c:delete val="0"/>
        <c:axPos val="l"/>
        <c:majorGridlines/>
        <c:title>
          <c:tx>
            <c:rich>
              <a:bodyPr/>
              <a:lstStyle/>
              <a:p>
                <a:pPr>
                  <a:defRPr/>
                </a:pPr>
                <a:r>
                  <a:rPr lang="en-US"/>
                  <a:t>Average</a:t>
                </a:r>
                <a:r>
                  <a:rPr lang="en-US" baseline="0"/>
                  <a:t> h'hold expenditure</a:t>
                </a:r>
                <a:endParaRPr lang="en-US"/>
              </a:p>
            </c:rich>
          </c:tx>
          <c:layout>
            <c:manualLayout>
              <c:xMode val="edge"/>
              <c:yMode val="edge"/>
              <c:x val="1.1246670730598585E-2"/>
              <c:y val="0.17572142023913678"/>
            </c:manualLayout>
          </c:layout>
          <c:overlay val="0"/>
        </c:title>
        <c:numFmt formatCode="#,##0" sourceLinked="1"/>
        <c:majorTickMark val="out"/>
        <c:minorTickMark val="none"/>
        <c:tickLblPos val="nextTo"/>
        <c:crossAx val="112925696"/>
        <c:crosses val="autoZero"/>
        <c:crossBetween val="between"/>
      </c:valAx>
      <c:valAx>
        <c:axId val="112941696"/>
        <c:scaling>
          <c:orientation val="minMax"/>
          <c:max val="120000"/>
        </c:scaling>
        <c:delete val="1"/>
        <c:axPos val="r"/>
        <c:numFmt formatCode="#,##0" sourceLinked="1"/>
        <c:majorTickMark val="out"/>
        <c:minorTickMark val="none"/>
        <c:tickLblPos val="none"/>
        <c:crossAx val="112947584"/>
        <c:crosses val="max"/>
        <c:crossBetween val="between"/>
      </c:valAx>
      <c:catAx>
        <c:axId val="112947584"/>
        <c:scaling>
          <c:orientation val="minMax"/>
        </c:scaling>
        <c:delete val="1"/>
        <c:axPos val="b"/>
        <c:majorTickMark val="out"/>
        <c:minorTickMark val="none"/>
        <c:tickLblPos val="none"/>
        <c:crossAx val="112941696"/>
        <c:crosses val="autoZero"/>
        <c:auto val="1"/>
        <c:lblAlgn val="ctr"/>
        <c:lblOffset val="100"/>
        <c:noMultiLvlLbl val="0"/>
      </c:catAx>
    </c:plotArea>
    <c:legend>
      <c:legendPos val="r"/>
      <c:layout>
        <c:manualLayout>
          <c:xMode val="edge"/>
          <c:yMode val="edge"/>
          <c:x val="0.22806158784292152"/>
          <c:y val="6.4430956547098434E-2"/>
          <c:w val="0.30771205547358527"/>
          <c:h val="9.3360309128025745E-2"/>
        </c:manualLayout>
      </c:layout>
      <c:overlay val="0"/>
    </c:legend>
    <c:plotVisOnly val="1"/>
    <c:dispBlanksAs val="gap"/>
    <c:showDLblsOverMax val="0"/>
  </c:chart>
  <c:spPr>
    <a:ln>
      <a:noFill/>
    </a:ln>
  </c:spPr>
  <c:externalData r:id="rId1">
    <c:autoUpdate val="0"/>
  </c:externalData>
  <c:userShapes r:id="rId2"/>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N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8530839895013124"/>
          <c:y val="7.374651454437145E-2"/>
          <c:w val="0.74228445128569442"/>
          <c:h val="0.73612714826881531"/>
        </c:manualLayout>
      </c:layout>
      <c:barChart>
        <c:barDir val="bar"/>
        <c:grouping val="stacked"/>
        <c:varyColors val="0"/>
        <c:ser>
          <c:idx val="0"/>
          <c:order val="0"/>
          <c:tx>
            <c:strRef>
              <c:f>BoxPlot_HHExp!$E$2</c:f>
              <c:strCache>
                <c:ptCount val="1"/>
              </c:strCache>
            </c:strRef>
          </c:tx>
          <c:spPr>
            <a:solidFill>
              <a:schemeClr val="bg1"/>
            </a:solidFill>
          </c:spPr>
          <c:invertIfNegative val="0"/>
          <c:errBars>
            <c:errBarType val="both"/>
            <c:errValType val="cust"/>
            <c:noEndCap val="1"/>
            <c:plus>
              <c:numRef>
                <c:f>BoxPlot_HHExp!$I$4:$I$12</c:f>
                <c:numCache>
                  <c:formatCode>General</c:formatCode>
                  <c:ptCount val="9"/>
                  <c:pt idx="0">
                    <c:v>92932.618221237237</c:v>
                  </c:pt>
                  <c:pt idx="1">
                    <c:v>377426.4479588496</c:v>
                  </c:pt>
                  <c:pt idx="2">
                    <c:v>322020.64715114725</c:v>
                  </c:pt>
                  <c:pt idx="3">
                    <c:v>355362.897914375</c:v>
                  </c:pt>
                  <c:pt idx="4">
                    <c:v>326813.95321327017</c:v>
                  </c:pt>
                  <c:pt idx="5">
                    <c:v>295706.44025355123</c:v>
                  </c:pt>
                  <c:pt idx="6">
                    <c:v>169218.71655789093</c:v>
                  </c:pt>
                  <c:pt idx="7">
                    <c:v>755414.29324828426</c:v>
                  </c:pt>
                  <c:pt idx="8">
                    <c:v>317813.71105785307</c:v>
                  </c:pt>
                </c:numCache>
              </c:numRef>
            </c:plus>
            <c:minus>
              <c:numRef>
                <c:f>BoxPlot_HHExp!$I$4:$I$12</c:f>
                <c:numCache>
                  <c:formatCode>General</c:formatCode>
                  <c:ptCount val="9"/>
                  <c:pt idx="0">
                    <c:v>92932.618221237237</c:v>
                  </c:pt>
                  <c:pt idx="1">
                    <c:v>377426.4479588496</c:v>
                  </c:pt>
                  <c:pt idx="2">
                    <c:v>322020.64715114725</c:v>
                  </c:pt>
                  <c:pt idx="3">
                    <c:v>355362.897914375</c:v>
                  </c:pt>
                  <c:pt idx="4">
                    <c:v>326813.95321327017</c:v>
                  </c:pt>
                  <c:pt idx="5">
                    <c:v>295706.44025355123</c:v>
                  </c:pt>
                  <c:pt idx="6">
                    <c:v>169218.71655789093</c:v>
                  </c:pt>
                  <c:pt idx="7">
                    <c:v>755414.29324828426</c:v>
                  </c:pt>
                  <c:pt idx="8">
                    <c:v>317813.71105785307</c:v>
                  </c:pt>
                </c:numCache>
              </c:numRef>
            </c:minus>
            <c:spPr>
              <a:ln>
                <a:solidFill>
                  <a:schemeClr val="bg1">
                    <a:lumMod val="50000"/>
                  </a:schemeClr>
                </a:solidFill>
              </a:ln>
            </c:spPr>
          </c:errBars>
          <c:cat>
            <c:strRef>
              <c:f>BoxPlot_HHExp!$B$4:$B$12</c:f>
              <c:strCache>
                <c:ptCount val="9"/>
                <c:pt idx="0">
                  <c:v>Torba</c:v>
                </c:pt>
                <c:pt idx="1">
                  <c:v>Sanma Rural</c:v>
                </c:pt>
                <c:pt idx="2">
                  <c:v>Penama</c:v>
                </c:pt>
                <c:pt idx="3">
                  <c:v>Malampa</c:v>
                </c:pt>
                <c:pt idx="4">
                  <c:v>Shefa Rural</c:v>
                </c:pt>
                <c:pt idx="5">
                  <c:v>Tafea</c:v>
                </c:pt>
                <c:pt idx="6">
                  <c:v>Luganville</c:v>
                </c:pt>
                <c:pt idx="7">
                  <c:v>Port Vila</c:v>
                </c:pt>
                <c:pt idx="8">
                  <c:v>Vanuatu</c:v>
                </c:pt>
              </c:strCache>
            </c:strRef>
          </c:cat>
          <c:val>
            <c:numRef>
              <c:f>BoxPlot_HHExp!$E$4:$E$12</c:f>
              <c:numCache>
                <c:formatCode>_(\V\t* #,##0_);_(\V\t* \(#,##0\);_(\V\t* "-"??_);_(@_)</c:formatCode>
                <c:ptCount val="9"/>
                <c:pt idx="0">
                  <c:v>123632.35168988415</c:v>
                </c:pt>
                <c:pt idx="1">
                  <c:v>480757.72464716859</c:v>
                </c:pt>
                <c:pt idx="2">
                  <c:v>401620.56162094069</c:v>
                </c:pt>
                <c:pt idx="3">
                  <c:v>447725.21585425001</c:v>
                </c:pt>
                <c:pt idx="4">
                  <c:v>415746.85915203148</c:v>
                </c:pt>
                <c:pt idx="5">
                  <c:v>376328.28278049477</c:v>
                </c:pt>
                <c:pt idx="6">
                  <c:v>232615.03664498561</c:v>
                </c:pt>
                <c:pt idx="7">
                  <c:v>960016.67937618727</c:v>
                </c:pt>
                <c:pt idx="8">
                  <c:v>348513.44452650001</c:v>
                </c:pt>
              </c:numCache>
            </c:numRef>
          </c:val>
        </c:ser>
        <c:ser>
          <c:idx val="1"/>
          <c:order val="1"/>
          <c:tx>
            <c:strRef>
              <c:f>BoxPlot_HHExp!$F$3</c:f>
              <c:strCache>
                <c:ptCount val="1"/>
                <c:pt idx="0">
                  <c:v>Second quartile</c:v>
                </c:pt>
              </c:strCache>
            </c:strRef>
          </c:tx>
          <c:spPr>
            <a:solidFill>
              <a:schemeClr val="accent4">
                <a:lumMod val="20000"/>
                <a:lumOff val="80000"/>
              </a:schemeClr>
            </a:solidFill>
          </c:spPr>
          <c:invertIfNegative val="0"/>
          <c:dPt>
            <c:idx val="6"/>
            <c:invertIfNegative val="0"/>
            <c:bubble3D val="0"/>
          </c:dPt>
          <c:dPt>
            <c:idx val="7"/>
            <c:invertIfNegative val="0"/>
            <c:bubble3D val="0"/>
          </c:dPt>
          <c:dPt>
            <c:idx val="8"/>
            <c:invertIfNegative val="0"/>
            <c:bubble3D val="0"/>
            <c:spPr>
              <a:solidFill>
                <a:schemeClr val="accent4">
                  <a:lumMod val="60000"/>
                  <a:lumOff val="40000"/>
                </a:schemeClr>
              </a:solidFill>
            </c:spPr>
          </c:dPt>
          <c:cat>
            <c:strRef>
              <c:f>BoxPlot_HHExp!$B$4:$B$12</c:f>
              <c:strCache>
                <c:ptCount val="9"/>
                <c:pt idx="0">
                  <c:v>Torba</c:v>
                </c:pt>
                <c:pt idx="1">
                  <c:v>Sanma Rural</c:v>
                </c:pt>
                <c:pt idx="2">
                  <c:v>Penama</c:v>
                </c:pt>
                <c:pt idx="3">
                  <c:v>Malampa</c:v>
                </c:pt>
                <c:pt idx="4">
                  <c:v>Shefa Rural</c:v>
                </c:pt>
                <c:pt idx="5">
                  <c:v>Tafea</c:v>
                </c:pt>
                <c:pt idx="6">
                  <c:v>Luganville</c:v>
                </c:pt>
                <c:pt idx="7">
                  <c:v>Port Vila</c:v>
                </c:pt>
                <c:pt idx="8">
                  <c:v>Vanuatu</c:v>
                </c:pt>
              </c:strCache>
            </c:strRef>
          </c:cat>
          <c:val>
            <c:numRef>
              <c:f>BoxPlot_HHExp!$F$4:$F$12</c:f>
              <c:numCache>
                <c:formatCode>_(\V\t* #,##0_);_(\V\t* \(#,##0\);_(\V\t* "-"??_);_(@_)</c:formatCode>
                <c:ptCount val="9"/>
                <c:pt idx="0">
                  <c:v>204146.07759967685</c:v>
                </c:pt>
                <c:pt idx="1">
                  <c:v>673060.51039448369</c:v>
                </c:pt>
                <c:pt idx="2">
                  <c:v>654627.58525240212</c:v>
                </c:pt>
                <c:pt idx="3">
                  <c:v>710448.05927031254</c:v>
                </c:pt>
                <c:pt idx="4">
                  <c:v>736553.8912883111</c:v>
                </c:pt>
                <c:pt idx="5">
                  <c:v>588272.92753590317</c:v>
                </c:pt>
                <c:pt idx="6">
                  <c:v>353879.00896858406</c:v>
                </c:pt>
                <c:pt idx="7">
                  <c:v>1459069.5008949244</c:v>
                </c:pt>
                <c:pt idx="8">
                  <c:v>624864.77207405469</c:v>
                </c:pt>
              </c:numCache>
            </c:numRef>
          </c:val>
        </c:ser>
        <c:ser>
          <c:idx val="2"/>
          <c:order val="2"/>
          <c:tx>
            <c:strRef>
              <c:f>BoxPlot_HHExp!$G$3</c:f>
              <c:strCache>
                <c:ptCount val="1"/>
                <c:pt idx="0">
                  <c:v>Third quartile</c:v>
                </c:pt>
              </c:strCache>
            </c:strRef>
          </c:tx>
          <c:spPr>
            <a:solidFill>
              <a:schemeClr val="accent3">
                <a:lumMod val="60000"/>
                <a:lumOff val="40000"/>
              </a:schemeClr>
            </a:solidFill>
          </c:spPr>
          <c:invertIfNegative val="0"/>
          <c:dPt>
            <c:idx val="6"/>
            <c:invertIfNegative val="0"/>
            <c:bubble3D val="0"/>
          </c:dPt>
          <c:dPt>
            <c:idx val="7"/>
            <c:invertIfNegative val="0"/>
            <c:bubble3D val="0"/>
          </c:dPt>
          <c:dPt>
            <c:idx val="8"/>
            <c:invertIfNegative val="0"/>
            <c:bubble3D val="0"/>
            <c:spPr>
              <a:solidFill>
                <a:schemeClr val="accent3">
                  <a:lumMod val="50000"/>
                </a:schemeClr>
              </a:solidFill>
            </c:spPr>
          </c:dPt>
          <c:errBars>
            <c:errBarType val="both"/>
            <c:errValType val="cust"/>
            <c:noEndCap val="1"/>
            <c:plus>
              <c:numRef>
                <c:f>BoxPlot_HHExp!$J$4:$J$12</c:f>
                <c:numCache>
                  <c:formatCode>General</c:formatCode>
                  <c:ptCount val="9"/>
                  <c:pt idx="0">
                    <c:v>951131.38389240042</c:v>
                  </c:pt>
                  <c:pt idx="1">
                    <c:v>5501453.3377564047</c:v>
                  </c:pt>
                  <c:pt idx="2">
                    <c:v>3465047.9984037112</c:v>
                  </c:pt>
                  <c:pt idx="3">
                    <c:v>2948408.6763703916</c:v>
                  </c:pt>
                  <c:pt idx="4">
                    <c:v>11270055.600822676</c:v>
                  </c:pt>
                  <c:pt idx="5">
                    <c:v>6970668.3881453136</c:v>
                  </c:pt>
                  <c:pt idx="6">
                    <c:v>1962390.2208810332</c:v>
                  </c:pt>
                  <c:pt idx="7">
                    <c:v>7238286.6016105842</c:v>
                  </c:pt>
                  <c:pt idx="8">
                    <c:v>11546429.964140106</c:v>
                  </c:pt>
                </c:numCache>
              </c:numRef>
            </c:plus>
            <c:minus>
              <c:numLit>
                <c:formatCode>General</c:formatCode>
                <c:ptCount val="1"/>
                <c:pt idx="0">
                  <c:v>1</c:v>
                </c:pt>
              </c:numLit>
            </c:minus>
            <c:spPr>
              <a:ln>
                <a:solidFill>
                  <a:schemeClr val="bg1">
                    <a:lumMod val="50000"/>
                  </a:schemeClr>
                </a:solidFill>
              </a:ln>
            </c:spPr>
          </c:errBars>
          <c:cat>
            <c:strRef>
              <c:f>BoxPlot_HHExp!$B$4:$B$12</c:f>
              <c:strCache>
                <c:ptCount val="9"/>
                <c:pt idx="0">
                  <c:v>Torba</c:v>
                </c:pt>
                <c:pt idx="1">
                  <c:v>Sanma Rural</c:v>
                </c:pt>
                <c:pt idx="2">
                  <c:v>Penama</c:v>
                </c:pt>
                <c:pt idx="3">
                  <c:v>Malampa</c:v>
                </c:pt>
                <c:pt idx="4">
                  <c:v>Shefa Rural</c:v>
                </c:pt>
                <c:pt idx="5">
                  <c:v>Tafea</c:v>
                </c:pt>
                <c:pt idx="6">
                  <c:v>Luganville</c:v>
                </c:pt>
                <c:pt idx="7">
                  <c:v>Port Vila</c:v>
                </c:pt>
                <c:pt idx="8">
                  <c:v>Vanuatu</c:v>
                </c:pt>
              </c:strCache>
            </c:strRef>
          </c:cat>
          <c:val>
            <c:numRef>
              <c:f>BoxPlot_HHExp!$G$4:$G$12</c:f>
              <c:numCache>
                <c:formatCode>_(\V\t* #,##0_);_(\V\t* \(#,##0\);_(\V\t* "-"??_);_(@_)</c:formatCode>
                <c:ptCount val="9"/>
                <c:pt idx="0">
                  <c:v>304439.41008265555</c:v>
                </c:pt>
                <c:pt idx="1">
                  <c:v>1004105.3692915714</c:v>
                </c:pt>
                <c:pt idx="2">
                  <c:v>1106870.137729302</c:v>
                </c:pt>
                <c:pt idx="3">
                  <c:v>1094470.6755823789</c:v>
                </c:pt>
                <c:pt idx="4">
                  <c:v>1398176.8504821616</c:v>
                </c:pt>
                <c:pt idx="5">
                  <c:v>1040459.0764331685</c:v>
                </c:pt>
                <c:pt idx="6">
                  <c:v>534818.22874265967</c:v>
                </c:pt>
                <c:pt idx="7">
                  <c:v>2169773.0840476956</c:v>
                </c:pt>
                <c:pt idx="8">
                  <c:v>1121802.4871647323</c:v>
                </c:pt>
              </c:numCache>
            </c:numRef>
          </c:val>
        </c:ser>
        <c:dLbls>
          <c:showLegendKey val="0"/>
          <c:showVal val="0"/>
          <c:showCatName val="0"/>
          <c:showSerName val="0"/>
          <c:showPercent val="0"/>
          <c:showBubbleSize val="0"/>
        </c:dLbls>
        <c:gapWidth val="40"/>
        <c:overlap val="100"/>
        <c:axId val="112989312"/>
        <c:axId val="112990848"/>
      </c:barChart>
      <c:catAx>
        <c:axId val="112989312"/>
        <c:scaling>
          <c:orientation val="minMax"/>
        </c:scaling>
        <c:delete val="0"/>
        <c:axPos val="l"/>
        <c:majorTickMark val="out"/>
        <c:minorTickMark val="none"/>
        <c:tickLblPos val="nextTo"/>
        <c:txPr>
          <a:bodyPr/>
          <a:lstStyle/>
          <a:p>
            <a:pPr>
              <a:defRPr sz="900"/>
            </a:pPr>
            <a:endParaRPr lang="en-US"/>
          </a:p>
        </c:txPr>
        <c:crossAx val="112990848"/>
        <c:crosses val="autoZero"/>
        <c:auto val="1"/>
        <c:lblAlgn val="ctr"/>
        <c:lblOffset val="100"/>
        <c:noMultiLvlLbl val="0"/>
      </c:catAx>
      <c:valAx>
        <c:axId val="112990848"/>
        <c:scaling>
          <c:orientation val="minMax"/>
        </c:scaling>
        <c:delete val="0"/>
        <c:axPos val="b"/>
        <c:numFmt formatCode="_(\V\t* #,##0_);_(\V\t* \(#,##0\);_(\V\t* &quot;-&quot;??_);_(@_)" sourceLinked="1"/>
        <c:majorTickMark val="out"/>
        <c:minorTickMark val="none"/>
        <c:tickLblPos val="nextTo"/>
        <c:txPr>
          <a:bodyPr rot="-5400000" vert="horz"/>
          <a:lstStyle/>
          <a:p>
            <a:pPr>
              <a:defRPr sz="900"/>
            </a:pPr>
            <a:endParaRPr lang="en-US"/>
          </a:p>
        </c:txPr>
        <c:crossAx val="112989312"/>
        <c:crosses val="autoZero"/>
        <c:crossBetween val="between"/>
        <c:majorUnit val="2000000"/>
        <c:dispUnits>
          <c:builtInUnit val="thousands"/>
          <c:dispUnitsLbl>
            <c:layout>
              <c:manualLayout>
                <c:xMode val="edge"/>
                <c:yMode val="edge"/>
                <c:x val="1.4964596092155195E-2"/>
                <c:y val="0.83822479649116999"/>
              </c:manualLayout>
            </c:layout>
          </c:dispUnitsLbl>
        </c:dispUnits>
      </c:valAx>
    </c:plotArea>
    <c:legend>
      <c:legendPos val="t"/>
      <c:layout>
        <c:manualLayout>
          <c:xMode val="edge"/>
          <c:yMode val="edge"/>
          <c:x val="0.63790835356106801"/>
          <c:y val="0.55345901982973045"/>
          <c:w val="0.21791762871746295"/>
          <c:h val="0.24280344803492696"/>
        </c:manualLayout>
      </c:layout>
      <c:overlay val="0"/>
    </c:legend>
    <c:plotVisOnly val="1"/>
    <c:dispBlanksAs val="gap"/>
    <c:showDLblsOverMax val="0"/>
  </c:chart>
  <c:spPr>
    <a:ln>
      <a:noFill/>
    </a:ln>
  </c:spPr>
  <c:externalData r:id="rId1">
    <c:autoUpdate val="0"/>
  </c:externalData>
  <c:userShapes r:id="rId2"/>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N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28659580052493439"/>
          <c:y val="1.5664386340532941E-2"/>
          <c:w val="0.66195275590551184"/>
          <c:h val="0.90412287731322494"/>
        </c:manualLayout>
      </c:layout>
      <c:barChart>
        <c:barDir val="bar"/>
        <c:grouping val="clustered"/>
        <c:varyColors val="0"/>
        <c:ser>
          <c:idx val="1"/>
          <c:order val="0"/>
          <c:tx>
            <c:strRef>
              <c:f>'Fig 2-8'!$B$4</c:f>
              <c:strCache>
                <c:ptCount val="1"/>
                <c:pt idx="0">
                  <c:v>Urban</c:v>
                </c:pt>
              </c:strCache>
            </c:strRef>
          </c:tx>
          <c:spPr>
            <a:solidFill>
              <a:schemeClr val="accent6"/>
            </a:solidFill>
            <a:ln>
              <a:solidFill>
                <a:schemeClr val="bg1">
                  <a:lumMod val="50000"/>
                </a:schemeClr>
              </a:solidFill>
            </a:ln>
          </c:spPr>
          <c:invertIfNegative val="0"/>
          <c:dLbls>
            <c:dLbl>
              <c:idx val="0"/>
              <c:layout>
                <c:manualLayout>
                  <c:x val="2.5000000000000001E-2"/>
                  <c:y val="0"/>
                </c:manualLayout>
              </c:layout>
              <c:showLegendKey val="0"/>
              <c:showVal val="1"/>
              <c:showCatName val="0"/>
              <c:showSerName val="0"/>
              <c:showPercent val="0"/>
              <c:showBubbleSize val="0"/>
            </c:dLbl>
            <c:dLbl>
              <c:idx val="3"/>
              <c:layout>
                <c:manualLayout>
                  <c:x val="5.0000000000000051E-2"/>
                  <c:y val="4.6296296296296294E-3"/>
                </c:manualLayout>
              </c:layout>
              <c:showLegendKey val="0"/>
              <c:showVal val="1"/>
              <c:showCatName val="0"/>
              <c:showSerName val="0"/>
              <c:showPercent val="0"/>
              <c:showBubbleSize val="0"/>
            </c:dLbl>
            <c:spPr>
              <a:noFill/>
            </c:spPr>
            <c:txPr>
              <a:bodyPr/>
              <a:lstStyle/>
              <a:p>
                <a:pPr>
                  <a:defRPr sz="800"/>
                </a:pPr>
                <a:endParaRPr lang="en-US"/>
              </a:p>
            </c:txPr>
            <c:showLegendKey val="0"/>
            <c:showVal val="1"/>
            <c:showCatName val="0"/>
            <c:showSerName val="0"/>
            <c:showPercent val="0"/>
            <c:showBubbleSize val="0"/>
            <c:showLeaderLines val="0"/>
          </c:dLbls>
          <c:cat>
            <c:strRef>
              <c:f>'Fig 2-8'!$C$2:$K$2</c:f>
              <c:strCache>
                <c:ptCount val="9"/>
                <c:pt idx="0">
                  <c:v>Food</c:v>
                </c:pt>
                <c:pt idx="1">
                  <c:v>Housing</c:v>
                </c:pt>
                <c:pt idx="2">
                  <c:v>H'hold operation</c:v>
                </c:pt>
                <c:pt idx="3">
                  <c:v>Clothing &amp; f'wear</c:v>
                </c:pt>
                <c:pt idx="4">
                  <c:v>Transport</c:v>
                </c:pt>
                <c:pt idx="5">
                  <c:v>Alcohol, kava &amp; tobacco</c:v>
                </c:pt>
                <c:pt idx="6">
                  <c:v>Miscellaneous</c:v>
                </c:pt>
                <c:pt idx="7">
                  <c:v>Non-consumption</c:v>
                </c:pt>
                <c:pt idx="8">
                  <c:v>Gifts received</c:v>
                </c:pt>
              </c:strCache>
            </c:strRef>
          </c:cat>
          <c:val>
            <c:numRef>
              <c:f>'Fig 2-8'!$C$4:$K$4</c:f>
              <c:numCache>
                <c:formatCode>#,##0</c:formatCode>
                <c:ptCount val="9"/>
                <c:pt idx="0">
                  <c:v>41300</c:v>
                </c:pt>
                <c:pt idx="1">
                  <c:v>10900</c:v>
                </c:pt>
                <c:pt idx="2">
                  <c:v>18800</c:v>
                </c:pt>
                <c:pt idx="3">
                  <c:v>1300</c:v>
                </c:pt>
                <c:pt idx="4">
                  <c:v>11500</c:v>
                </c:pt>
                <c:pt idx="5">
                  <c:v>9000</c:v>
                </c:pt>
                <c:pt idx="6">
                  <c:v>7400</c:v>
                </c:pt>
                <c:pt idx="7">
                  <c:v>7400</c:v>
                </c:pt>
                <c:pt idx="8">
                  <c:v>14100</c:v>
                </c:pt>
              </c:numCache>
            </c:numRef>
          </c:val>
        </c:ser>
        <c:dLbls>
          <c:showLegendKey val="0"/>
          <c:showVal val="0"/>
          <c:showCatName val="0"/>
          <c:showSerName val="0"/>
          <c:showPercent val="0"/>
          <c:showBubbleSize val="0"/>
        </c:dLbls>
        <c:gapWidth val="10"/>
        <c:overlap val="100"/>
        <c:axId val="113036288"/>
        <c:axId val="113042176"/>
      </c:barChart>
      <c:barChart>
        <c:barDir val="bar"/>
        <c:grouping val="clustered"/>
        <c:varyColors val="0"/>
        <c:ser>
          <c:idx val="0"/>
          <c:order val="1"/>
          <c:tx>
            <c:strRef>
              <c:f>'Fig 2-8'!$B$3</c:f>
              <c:strCache>
                <c:ptCount val="1"/>
                <c:pt idx="0">
                  <c:v>Rural</c:v>
                </c:pt>
              </c:strCache>
            </c:strRef>
          </c:tx>
          <c:spPr>
            <a:solidFill>
              <a:schemeClr val="accent3"/>
            </a:solidFill>
            <a:ln>
              <a:solidFill>
                <a:schemeClr val="bg1">
                  <a:lumMod val="50000"/>
                </a:schemeClr>
              </a:solidFill>
            </a:ln>
          </c:spPr>
          <c:invertIfNegative val="0"/>
          <c:dLbls>
            <c:spPr>
              <a:solidFill>
                <a:schemeClr val="accent3">
                  <a:lumMod val="60000"/>
                  <a:lumOff val="40000"/>
                  <a:alpha val="70000"/>
                </a:schemeClr>
              </a:solidFill>
            </c:spPr>
            <c:txPr>
              <a:bodyPr/>
              <a:lstStyle/>
              <a:p>
                <a:pPr>
                  <a:defRPr sz="800">
                    <a:solidFill>
                      <a:schemeClr val="tx1"/>
                    </a:solidFill>
                  </a:defRPr>
                </a:pPr>
                <a:endParaRPr lang="en-US"/>
              </a:p>
            </c:txPr>
            <c:dLblPos val="inBase"/>
            <c:showLegendKey val="0"/>
            <c:showVal val="1"/>
            <c:showCatName val="0"/>
            <c:showSerName val="0"/>
            <c:showPercent val="0"/>
            <c:showBubbleSize val="0"/>
            <c:showLeaderLines val="0"/>
          </c:dLbls>
          <c:cat>
            <c:strRef>
              <c:f>'Fig 2-8'!$C$2:$K$2</c:f>
              <c:strCache>
                <c:ptCount val="9"/>
                <c:pt idx="0">
                  <c:v>Food</c:v>
                </c:pt>
                <c:pt idx="1">
                  <c:v>Housing</c:v>
                </c:pt>
                <c:pt idx="2">
                  <c:v>H'hold operation</c:v>
                </c:pt>
                <c:pt idx="3">
                  <c:v>Clothing &amp; f'wear</c:v>
                </c:pt>
                <c:pt idx="4">
                  <c:v>Transport</c:v>
                </c:pt>
                <c:pt idx="5">
                  <c:v>Alcohol, kava &amp; tobacco</c:v>
                </c:pt>
                <c:pt idx="6">
                  <c:v>Miscellaneous</c:v>
                </c:pt>
                <c:pt idx="7">
                  <c:v>Non-consumption</c:v>
                </c:pt>
                <c:pt idx="8">
                  <c:v>Gifts received</c:v>
                </c:pt>
              </c:strCache>
            </c:strRef>
          </c:cat>
          <c:val>
            <c:numRef>
              <c:f>'Fig 2-8'!$C$3:$K$3</c:f>
              <c:numCache>
                <c:formatCode>#,##0</c:formatCode>
                <c:ptCount val="9"/>
                <c:pt idx="0">
                  <c:v>43000</c:v>
                </c:pt>
                <c:pt idx="1">
                  <c:v>3400</c:v>
                </c:pt>
                <c:pt idx="2">
                  <c:v>8100</c:v>
                </c:pt>
                <c:pt idx="3">
                  <c:v>600</c:v>
                </c:pt>
                <c:pt idx="4">
                  <c:v>5400</c:v>
                </c:pt>
                <c:pt idx="5">
                  <c:v>5400</c:v>
                </c:pt>
                <c:pt idx="6">
                  <c:v>4000</c:v>
                </c:pt>
                <c:pt idx="7">
                  <c:v>6900</c:v>
                </c:pt>
                <c:pt idx="8">
                  <c:v>6900</c:v>
                </c:pt>
              </c:numCache>
            </c:numRef>
          </c:val>
        </c:ser>
        <c:dLbls>
          <c:showLegendKey val="0"/>
          <c:showVal val="0"/>
          <c:showCatName val="0"/>
          <c:showSerName val="0"/>
          <c:showPercent val="0"/>
          <c:showBubbleSize val="0"/>
        </c:dLbls>
        <c:gapWidth val="100"/>
        <c:overlap val="100"/>
        <c:axId val="113045504"/>
        <c:axId val="113043712"/>
      </c:barChart>
      <c:catAx>
        <c:axId val="113036288"/>
        <c:scaling>
          <c:orientation val="minMax"/>
        </c:scaling>
        <c:delete val="0"/>
        <c:axPos val="l"/>
        <c:majorTickMark val="out"/>
        <c:minorTickMark val="none"/>
        <c:tickLblPos val="nextTo"/>
        <c:crossAx val="113042176"/>
        <c:crosses val="autoZero"/>
        <c:auto val="1"/>
        <c:lblAlgn val="ctr"/>
        <c:lblOffset val="100"/>
        <c:noMultiLvlLbl val="0"/>
      </c:catAx>
      <c:valAx>
        <c:axId val="113042176"/>
        <c:scaling>
          <c:orientation val="minMax"/>
        </c:scaling>
        <c:delete val="0"/>
        <c:axPos val="b"/>
        <c:majorGridlines/>
        <c:numFmt formatCode="#,##0" sourceLinked="1"/>
        <c:majorTickMark val="out"/>
        <c:minorTickMark val="none"/>
        <c:tickLblPos val="nextTo"/>
        <c:crossAx val="113036288"/>
        <c:crosses val="autoZero"/>
        <c:crossBetween val="between"/>
        <c:majorUnit val="10000"/>
      </c:valAx>
      <c:valAx>
        <c:axId val="113043712"/>
        <c:scaling>
          <c:orientation val="minMax"/>
        </c:scaling>
        <c:delete val="1"/>
        <c:axPos val="t"/>
        <c:numFmt formatCode="#,##0" sourceLinked="1"/>
        <c:majorTickMark val="out"/>
        <c:minorTickMark val="none"/>
        <c:tickLblPos val="nextTo"/>
        <c:crossAx val="113045504"/>
        <c:crosses val="max"/>
        <c:crossBetween val="between"/>
      </c:valAx>
      <c:catAx>
        <c:axId val="113045504"/>
        <c:scaling>
          <c:orientation val="minMax"/>
        </c:scaling>
        <c:delete val="1"/>
        <c:axPos val="l"/>
        <c:majorTickMark val="out"/>
        <c:minorTickMark val="none"/>
        <c:tickLblPos val="nextTo"/>
        <c:crossAx val="113043712"/>
        <c:crosses val="autoZero"/>
        <c:auto val="1"/>
        <c:lblAlgn val="ctr"/>
        <c:lblOffset val="100"/>
        <c:noMultiLvlLbl val="0"/>
      </c:catAx>
    </c:plotArea>
    <c:legend>
      <c:legendPos val="r"/>
      <c:layout>
        <c:manualLayout>
          <c:xMode val="edge"/>
          <c:yMode val="edge"/>
          <c:x val="0.67619006999125109"/>
          <c:y val="5.2391739460447374E-2"/>
          <c:w val="0.25992104111986009"/>
          <c:h val="9.1436278798483511E-2"/>
        </c:manualLayout>
      </c:layout>
      <c:overlay val="0"/>
    </c:legend>
    <c:plotVisOnly val="1"/>
    <c:dispBlanksAs val="gap"/>
    <c:showDLblsOverMax val="0"/>
  </c:chart>
  <c:spPr>
    <a:ln>
      <a:noFill/>
    </a:ln>
  </c:spPr>
  <c:txPr>
    <a:bodyPr/>
    <a:lstStyle/>
    <a:p>
      <a:pPr>
        <a:defRPr sz="900"/>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N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3.8194444444444448E-2"/>
          <c:y val="5.0925925925925923E-2"/>
          <c:w val="0.96180555555555558"/>
          <c:h val="0.76851669582968796"/>
        </c:manualLayout>
      </c:layout>
      <c:barChart>
        <c:barDir val="col"/>
        <c:grouping val="percentStacked"/>
        <c:varyColors val="0"/>
        <c:ser>
          <c:idx val="0"/>
          <c:order val="0"/>
          <c:tx>
            <c:strRef>
              <c:f>Sheet2!$M$107</c:f>
              <c:strCache>
                <c:ptCount val="1"/>
                <c:pt idx="0">
                  <c:v>Cash</c:v>
                </c:pt>
              </c:strCache>
            </c:strRef>
          </c:tx>
          <c:spPr>
            <a:solidFill>
              <a:schemeClr val="accent6"/>
            </a:solidFill>
          </c:spPr>
          <c:invertIfNegative val="0"/>
          <c:dPt>
            <c:idx val="0"/>
            <c:invertIfNegative val="0"/>
            <c:bubble3D val="0"/>
            <c:spPr>
              <a:solidFill>
                <a:schemeClr val="accent6">
                  <a:alpha val="85000"/>
                </a:schemeClr>
              </a:solidFill>
            </c:spPr>
          </c:dPt>
          <c:dLbls>
            <c:dLbl>
              <c:idx val="0"/>
              <c:spPr/>
              <c:txPr>
                <a:bodyPr/>
                <a:lstStyle/>
                <a:p>
                  <a:pPr>
                    <a:defRPr b="1"/>
                  </a:pPr>
                  <a:endParaRPr lang="en-US"/>
                </a:p>
              </c:txPr>
              <c:showLegendKey val="0"/>
              <c:showVal val="1"/>
              <c:showCatName val="0"/>
              <c:showSerName val="0"/>
              <c:showPercent val="0"/>
              <c:showBubbleSize val="0"/>
            </c:dLbl>
            <c:showLegendKey val="0"/>
            <c:showVal val="1"/>
            <c:showCatName val="0"/>
            <c:showSerName val="0"/>
            <c:showPercent val="0"/>
            <c:showBubbleSize val="0"/>
            <c:showLeaderLines val="0"/>
          </c:dLbls>
          <c:cat>
            <c:strRef>
              <c:f>Sheet2!$L$108:$L$110</c:f>
              <c:strCache>
                <c:ptCount val="3"/>
                <c:pt idx="0">
                  <c:v>Vanuatu</c:v>
                </c:pt>
                <c:pt idx="1">
                  <c:v>Rural</c:v>
                </c:pt>
                <c:pt idx="2">
                  <c:v>Urban</c:v>
                </c:pt>
              </c:strCache>
            </c:strRef>
          </c:cat>
          <c:val>
            <c:numRef>
              <c:f>Sheet2!$M$108:$M$110</c:f>
              <c:numCache>
                <c:formatCode>0.0%</c:formatCode>
                <c:ptCount val="3"/>
                <c:pt idx="0">
                  <c:v>0.63408520976133786</c:v>
                </c:pt>
                <c:pt idx="1">
                  <c:v>0.51792564188347423</c:v>
                </c:pt>
                <c:pt idx="2">
                  <c:v>0.8864175012371982</c:v>
                </c:pt>
              </c:numCache>
            </c:numRef>
          </c:val>
        </c:ser>
        <c:ser>
          <c:idx val="1"/>
          <c:order val="1"/>
          <c:tx>
            <c:strRef>
              <c:f>Sheet2!$N$107</c:f>
              <c:strCache>
                <c:ptCount val="1"/>
                <c:pt idx="0">
                  <c:v>Subsistence</c:v>
                </c:pt>
              </c:strCache>
            </c:strRef>
          </c:tx>
          <c:spPr>
            <a:solidFill>
              <a:schemeClr val="accent3">
                <a:alpha val="99000"/>
              </a:schemeClr>
            </a:solidFill>
          </c:spPr>
          <c:invertIfNegative val="0"/>
          <c:dPt>
            <c:idx val="0"/>
            <c:invertIfNegative val="0"/>
            <c:bubble3D val="0"/>
            <c:spPr>
              <a:solidFill>
                <a:schemeClr val="accent3">
                  <a:alpha val="85000"/>
                </a:schemeClr>
              </a:solidFill>
            </c:spPr>
          </c:dPt>
          <c:dLbls>
            <c:dLbl>
              <c:idx val="0"/>
              <c:spPr/>
              <c:txPr>
                <a:bodyPr/>
                <a:lstStyle/>
                <a:p>
                  <a:pPr>
                    <a:defRPr b="1"/>
                  </a:pPr>
                  <a:endParaRPr lang="en-US"/>
                </a:p>
              </c:txPr>
              <c:showLegendKey val="0"/>
              <c:showVal val="1"/>
              <c:showCatName val="0"/>
              <c:showSerName val="0"/>
              <c:showPercent val="0"/>
              <c:showBubbleSize val="0"/>
            </c:dLbl>
            <c:showLegendKey val="0"/>
            <c:showVal val="1"/>
            <c:showCatName val="0"/>
            <c:showSerName val="0"/>
            <c:showPercent val="0"/>
            <c:showBubbleSize val="0"/>
            <c:showLeaderLines val="0"/>
          </c:dLbls>
          <c:cat>
            <c:strRef>
              <c:f>Sheet2!$L$108:$L$110</c:f>
              <c:strCache>
                <c:ptCount val="3"/>
                <c:pt idx="0">
                  <c:v>Vanuatu</c:v>
                </c:pt>
                <c:pt idx="1">
                  <c:v>Rural</c:v>
                </c:pt>
                <c:pt idx="2">
                  <c:v>Urban</c:v>
                </c:pt>
              </c:strCache>
            </c:strRef>
          </c:cat>
          <c:val>
            <c:numRef>
              <c:f>Sheet2!$N$108:$N$110</c:f>
              <c:numCache>
                <c:formatCode>0.0%</c:formatCode>
                <c:ptCount val="3"/>
                <c:pt idx="0">
                  <c:v>0.32345539008303742</c:v>
                </c:pt>
                <c:pt idx="1">
                  <c:v>0.43486802920295714</c:v>
                </c:pt>
                <c:pt idx="2">
                  <c:v>8.1434639827911853E-2</c:v>
                </c:pt>
              </c:numCache>
            </c:numRef>
          </c:val>
        </c:ser>
        <c:ser>
          <c:idx val="2"/>
          <c:order val="2"/>
          <c:tx>
            <c:strRef>
              <c:f>Sheet2!$O$107</c:f>
              <c:strCache>
                <c:ptCount val="1"/>
                <c:pt idx="0">
                  <c:v>Gifts</c:v>
                </c:pt>
              </c:strCache>
            </c:strRef>
          </c:tx>
          <c:spPr>
            <a:solidFill>
              <a:schemeClr val="accent5"/>
            </a:solidFill>
          </c:spPr>
          <c:invertIfNegative val="0"/>
          <c:dPt>
            <c:idx val="0"/>
            <c:invertIfNegative val="0"/>
            <c:bubble3D val="0"/>
            <c:spPr>
              <a:solidFill>
                <a:schemeClr val="accent5">
                  <a:alpha val="85000"/>
                </a:schemeClr>
              </a:solidFill>
            </c:spPr>
          </c:dPt>
          <c:dLbls>
            <c:dLbl>
              <c:idx val="0"/>
              <c:spPr/>
              <c:txPr>
                <a:bodyPr/>
                <a:lstStyle/>
                <a:p>
                  <a:pPr>
                    <a:defRPr b="1"/>
                  </a:pPr>
                  <a:endParaRPr lang="en-US"/>
                </a:p>
              </c:txPr>
              <c:showLegendKey val="0"/>
              <c:showVal val="1"/>
              <c:showCatName val="0"/>
              <c:showSerName val="0"/>
              <c:showPercent val="0"/>
              <c:showBubbleSize val="0"/>
            </c:dLbl>
            <c:showLegendKey val="0"/>
            <c:showVal val="1"/>
            <c:showCatName val="0"/>
            <c:showSerName val="0"/>
            <c:showPercent val="0"/>
            <c:showBubbleSize val="0"/>
            <c:showLeaderLines val="0"/>
          </c:dLbls>
          <c:cat>
            <c:strRef>
              <c:f>Sheet2!$L$108:$L$110</c:f>
              <c:strCache>
                <c:ptCount val="3"/>
                <c:pt idx="0">
                  <c:v>Vanuatu</c:v>
                </c:pt>
                <c:pt idx="1">
                  <c:v>Rural</c:v>
                </c:pt>
                <c:pt idx="2">
                  <c:v>Urban</c:v>
                </c:pt>
              </c:strCache>
            </c:strRef>
          </c:cat>
          <c:val>
            <c:numRef>
              <c:f>Sheet2!$O$108:$O$110</c:f>
              <c:numCache>
                <c:formatCode>0.0%</c:formatCode>
                <c:ptCount val="3"/>
                <c:pt idx="0">
                  <c:v>4.2036063086908014E-2</c:v>
                </c:pt>
                <c:pt idx="1">
                  <c:v>4.7204689685795873E-2</c:v>
                </c:pt>
                <c:pt idx="2">
                  <c:v>3.080830615472166E-2</c:v>
                </c:pt>
              </c:numCache>
            </c:numRef>
          </c:val>
        </c:ser>
        <c:dLbls>
          <c:showLegendKey val="0"/>
          <c:showVal val="0"/>
          <c:showCatName val="0"/>
          <c:showSerName val="0"/>
          <c:showPercent val="0"/>
          <c:showBubbleSize val="0"/>
        </c:dLbls>
        <c:gapWidth val="40"/>
        <c:overlap val="100"/>
        <c:serLines/>
        <c:axId val="123053184"/>
        <c:axId val="123054720"/>
      </c:barChart>
      <c:catAx>
        <c:axId val="123053184"/>
        <c:scaling>
          <c:orientation val="minMax"/>
        </c:scaling>
        <c:delete val="0"/>
        <c:axPos val="b"/>
        <c:majorTickMark val="out"/>
        <c:minorTickMark val="none"/>
        <c:tickLblPos val="nextTo"/>
        <c:spPr>
          <a:ln>
            <a:noFill/>
          </a:ln>
        </c:spPr>
        <c:txPr>
          <a:bodyPr/>
          <a:lstStyle/>
          <a:p>
            <a:pPr>
              <a:defRPr b="1"/>
            </a:pPr>
            <a:endParaRPr lang="en-US"/>
          </a:p>
        </c:txPr>
        <c:crossAx val="123054720"/>
        <c:crosses val="autoZero"/>
        <c:auto val="1"/>
        <c:lblAlgn val="ctr"/>
        <c:lblOffset val="0"/>
        <c:noMultiLvlLbl val="0"/>
      </c:catAx>
      <c:valAx>
        <c:axId val="123054720"/>
        <c:scaling>
          <c:orientation val="minMax"/>
        </c:scaling>
        <c:delete val="1"/>
        <c:axPos val="l"/>
        <c:numFmt formatCode="0%" sourceLinked="1"/>
        <c:majorTickMark val="out"/>
        <c:minorTickMark val="none"/>
        <c:tickLblPos val="nextTo"/>
        <c:crossAx val="123053184"/>
        <c:crosses val="autoZero"/>
        <c:crossBetween val="between"/>
      </c:valAx>
    </c:plotArea>
    <c:legend>
      <c:legendPos val="b"/>
      <c:layout>
        <c:manualLayout>
          <c:xMode val="edge"/>
          <c:yMode val="edge"/>
          <c:x val="0.25175251531058618"/>
          <c:y val="0.9023939195100612"/>
          <c:w val="0.49649496937882764"/>
          <c:h val="6.9828302712160978E-2"/>
        </c:manualLayout>
      </c:layout>
      <c:overlay val="0"/>
    </c:legend>
    <c:plotVisOnly val="1"/>
    <c:dispBlanksAs val="gap"/>
    <c:showDLblsOverMax val="0"/>
  </c:chart>
  <c:spPr>
    <a:ln>
      <a:noFill/>
    </a:ln>
  </c:spPr>
  <c:externalData r:id="rId1">
    <c:autoUpdate val="0"/>
  </c:externalData>
</c:chartSpace>
</file>

<file path=word/drawings/drawing1.xml><?xml version="1.0" encoding="utf-8"?>
<c:userShapes xmlns:c="http://schemas.openxmlformats.org/drawingml/2006/chart">
  <cdr:relSizeAnchor xmlns:cdr="http://schemas.openxmlformats.org/drawingml/2006/chartDrawing">
    <cdr:from>
      <cdr:x>0.1577</cdr:x>
      <cdr:y>0.44543</cdr:y>
    </cdr:from>
    <cdr:to>
      <cdr:x>1</cdr:x>
      <cdr:y>0.44543</cdr:y>
    </cdr:to>
    <cdr:cxnSp macro="">
      <cdr:nvCxnSpPr>
        <cdr:cNvPr id="5" name="Straight Connector 4"/>
        <cdr:cNvCxnSpPr/>
      </cdr:nvCxnSpPr>
      <cdr:spPr>
        <a:xfrm xmlns:a="http://schemas.openxmlformats.org/drawingml/2006/main">
          <a:off x="809628" y="1221909"/>
          <a:ext cx="4324347" cy="0"/>
        </a:xfrm>
        <a:prstGeom xmlns:a="http://schemas.openxmlformats.org/drawingml/2006/main" prst="line">
          <a:avLst/>
        </a:prstGeom>
        <a:ln xmlns:a="http://schemas.openxmlformats.org/drawingml/2006/main" w="19050">
          <a:solidFill>
            <a:schemeClr val="tx1"/>
          </a:solidFill>
          <a:prstDash val="sysDot"/>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0.15584</cdr:x>
      <cdr:y>0.35764</cdr:y>
    </cdr:from>
    <cdr:to>
      <cdr:x>0.99814</cdr:x>
      <cdr:y>0.35764</cdr:y>
    </cdr:to>
    <cdr:cxnSp macro="">
      <cdr:nvCxnSpPr>
        <cdr:cNvPr id="6" name="Straight Connector 5"/>
        <cdr:cNvCxnSpPr/>
      </cdr:nvCxnSpPr>
      <cdr:spPr>
        <a:xfrm xmlns:a="http://schemas.openxmlformats.org/drawingml/2006/main">
          <a:off x="800100" y="981075"/>
          <a:ext cx="4324350" cy="0"/>
        </a:xfrm>
        <a:prstGeom xmlns:a="http://schemas.openxmlformats.org/drawingml/2006/main" prst="line">
          <a:avLst/>
        </a:prstGeom>
        <a:ln xmlns:a="http://schemas.openxmlformats.org/drawingml/2006/main" w="19050">
          <a:solidFill>
            <a:schemeClr val="accent2"/>
          </a:solidFill>
          <a:prstDash val="sysDot"/>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0.16301</cdr:x>
      <cdr:y>0.46165</cdr:y>
    </cdr:from>
    <cdr:to>
      <cdr:x>0.62498</cdr:x>
      <cdr:y>0.53457</cdr:y>
    </cdr:to>
    <cdr:sp macro="" textlink="">
      <cdr:nvSpPr>
        <cdr:cNvPr id="7" name="TextBox 6"/>
        <cdr:cNvSpPr txBox="1"/>
      </cdr:nvSpPr>
      <cdr:spPr>
        <a:xfrm xmlns:a="http://schemas.openxmlformats.org/drawingml/2006/main">
          <a:off x="841235" y="1266399"/>
          <a:ext cx="2383986" cy="200034"/>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NZ" sz="1000" i="1"/>
            <a:t>2006 Vanuatu average Vt 64,100</a:t>
          </a:r>
        </a:p>
      </cdr:txBody>
    </cdr:sp>
  </cdr:relSizeAnchor>
  <cdr:relSizeAnchor xmlns:cdr="http://schemas.openxmlformats.org/drawingml/2006/chartDrawing">
    <cdr:from>
      <cdr:x>0.15584</cdr:x>
      <cdr:y>0.25347</cdr:y>
    </cdr:from>
    <cdr:to>
      <cdr:x>0.61781</cdr:x>
      <cdr:y>0.32639</cdr:y>
    </cdr:to>
    <cdr:sp macro="" textlink="">
      <cdr:nvSpPr>
        <cdr:cNvPr id="8" name="TextBox 7"/>
        <cdr:cNvSpPr txBox="1"/>
      </cdr:nvSpPr>
      <cdr:spPr>
        <a:xfrm xmlns:a="http://schemas.openxmlformats.org/drawingml/2006/main">
          <a:off x="800099" y="695325"/>
          <a:ext cx="2371726" cy="20002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NZ" sz="1000" i="1"/>
            <a:t>2010 Vanuatu average Vt 76,200</a:t>
          </a:r>
        </a:p>
      </cdr:txBody>
    </cdr:sp>
  </cdr:relSizeAnchor>
</c:userShapes>
</file>

<file path=word/drawings/drawing2.xml><?xml version="1.0" encoding="utf-8"?>
<c:userShapes xmlns:c="http://schemas.openxmlformats.org/drawingml/2006/chart">
  <cdr:relSizeAnchor xmlns:cdr="http://schemas.openxmlformats.org/drawingml/2006/chartDrawing">
    <cdr:from>
      <cdr:x>0.84211</cdr:x>
      <cdr:y>0.01201</cdr:y>
    </cdr:from>
    <cdr:to>
      <cdr:x>0.98872</cdr:x>
      <cdr:y>0.08062</cdr:y>
    </cdr:to>
    <cdr:sp macro="" textlink="">
      <cdr:nvSpPr>
        <cdr:cNvPr id="2" name="TextBox 1"/>
        <cdr:cNvSpPr txBox="1"/>
      </cdr:nvSpPr>
      <cdr:spPr>
        <a:xfrm xmlns:a="http://schemas.openxmlformats.org/drawingml/2006/main">
          <a:off x="4267200" y="33338"/>
          <a:ext cx="742950" cy="1905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lgn="ctr"/>
          <a:fld id="{008D22CF-2095-4B2B-A828-7BA44D7750AC}" type="TxLink">
            <a:rPr lang="en-NZ" sz="900" b="1">
              <a:solidFill>
                <a:sysClr val="windowText" lastClr="000000"/>
              </a:solidFill>
            </a:rPr>
            <a:pPr algn="ctr"/>
            <a:t>H'holds</a:t>
          </a:fld>
          <a:endParaRPr lang="en-NZ" sz="900" b="1">
            <a:solidFill>
              <a:sysClr val="windowText" lastClr="000000"/>
            </a:solidFill>
          </a:endParaRPr>
        </a:p>
      </cdr:txBody>
    </cdr:sp>
  </cdr:relSizeAnchor>
  <cdr:relSizeAnchor xmlns:cdr="http://schemas.openxmlformats.org/drawingml/2006/chartDrawing">
    <cdr:from>
      <cdr:x>0.86842</cdr:x>
      <cdr:y>0.08062</cdr:y>
    </cdr:from>
    <cdr:to>
      <cdr:x>0.96007</cdr:x>
      <cdr:y>0.1458</cdr:y>
    </cdr:to>
    <cdr:sp macro="" textlink="">
      <cdr:nvSpPr>
        <cdr:cNvPr id="3" name="TextBox 19"/>
        <cdr:cNvSpPr txBox="1"/>
      </cdr:nvSpPr>
      <cdr:spPr>
        <a:xfrm xmlns:a="http://schemas.openxmlformats.org/drawingml/2006/main">
          <a:off x="4400549" y="223837"/>
          <a:ext cx="464400" cy="180976"/>
        </a:xfrm>
        <a:prstGeom xmlns:a="http://schemas.openxmlformats.org/drawingml/2006/main" prst="rect">
          <a:avLst/>
        </a:prstGeom>
        <a:solidFill xmlns:a="http://schemas.openxmlformats.org/drawingml/2006/main">
          <a:schemeClr val="accent3">
            <a:lumMod val="60000"/>
            <a:lumOff val="40000"/>
          </a:schemeClr>
        </a:solidFill>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tx1"/>
        </a:fontRef>
      </cdr:style>
      <cdr:txBody>
        <a:bodyPr xmlns:a="http://schemas.openxmlformats.org/drawingml/2006/main" wrap="none" lIns="0" tIns="0" rIns="0" bIns="0" rtlCol="0" anchor="ctr">
          <a:noAutofit/>
        </a:bodyPr>
        <a:lstStyle xmlns:a="http://schemas.openxmlformats.org/drawingml/2006/main">
          <a:lvl1pPr marL="0" indent="0">
            <a:defRPr sz="1100">
              <a:solidFill>
                <a:schemeClr val="tx1"/>
              </a:solidFill>
              <a:latin typeface="+mn-lt"/>
              <a:ea typeface="+mn-ea"/>
              <a:cs typeface="+mn-cs"/>
            </a:defRPr>
          </a:lvl1pPr>
          <a:lvl2pPr marL="457200" indent="0">
            <a:defRPr sz="1100">
              <a:solidFill>
                <a:schemeClr val="tx1"/>
              </a:solidFill>
              <a:latin typeface="+mn-lt"/>
              <a:ea typeface="+mn-ea"/>
              <a:cs typeface="+mn-cs"/>
            </a:defRPr>
          </a:lvl2pPr>
          <a:lvl3pPr marL="914400" indent="0">
            <a:defRPr sz="1100">
              <a:solidFill>
                <a:schemeClr val="tx1"/>
              </a:solidFill>
              <a:latin typeface="+mn-lt"/>
              <a:ea typeface="+mn-ea"/>
              <a:cs typeface="+mn-cs"/>
            </a:defRPr>
          </a:lvl3pPr>
          <a:lvl4pPr marL="1371600" indent="0">
            <a:defRPr sz="1100">
              <a:solidFill>
                <a:schemeClr val="tx1"/>
              </a:solidFill>
              <a:latin typeface="+mn-lt"/>
              <a:ea typeface="+mn-ea"/>
              <a:cs typeface="+mn-cs"/>
            </a:defRPr>
          </a:lvl4pPr>
          <a:lvl5pPr marL="1828800" indent="0">
            <a:defRPr sz="1100">
              <a:solidFill>
                <a:schemeClr val="tx1"/>
              </a:solidFill>
              <a:latin typeface="+mn-lt"/>
              <a:ea typeface="+mn-ea"/>
              <a:cs typeface="+mn-cs"/>
            </a:defRPr>
          </a:lvl5pPr>
          <a:lvl6pPr marL="2286000" indent="0">
            <a:defRPr sz="1100">
              <a:solidFill>
                <a:schemeClr val="tx1"/>
              </a:solidFill>
              <a:latin typeface="+mn-lt"/>
              <a:ea typeface="+mn-ea"/>
              <a:cs typeface="+mn-cs"/>
            </a:defRPr>
          </a:lvl6pPr>
          <a:lvl7pPr marL="2743200" indent="0">
            <a:defRPr sz="1100">
              <a:solidFill>
                <a:schemeClr val="tx1"/>
              </a:solidFill>
              <a:latin typeface="+mn-lt"/>
              <a:ea typeface="+mn-ea"/>
              <a:cs typeface="+mn-cs"/>
            </a:defRPr>
          </a:lvl7pPr>
          <a:lvl8pPr marL="3200400" indent="0">
            <a:defRPr sz="1100">
              <a:solidFill>
                <a:schemeClr val="tx1"/>
              </a:solidFill>
              <a:latin typeface="+mn-lt"/>
              <a:ea typeface="+mn-ea"/>
              <a:cs typeface="+mn-cs"/>
            </a:defRPr>
          </a:lvl8pPr>
          <a:lvl9pPr marL="3657600" indent="0">
            <a:defRPr sz="1100">
              <a:solidFill>
                <a:schemeClr val="tx1"/>
              </a:solidFill>
              <a:latin typeface="+mn-lt"/>
              <a:ea typeface="+mn-ea"/>
              <a:cs typeface="+mn-cs"/>
            </a:defRPr>
          </a:lvl9pPr>
        </a:lstStyle>
        <a:p xmlns:a="http://schemas.openxmlformats.org/drawingml/2006/main">
          <a:pPr algn="ctr"/>
          <a:fld id="{6B1551A9-AD84-4A1C-93E6-254138D6007C}" type="TxLink">
            <a:rPr lang="en-US" sz="900">
              <a:solidFill>
                <a:sysClr val="windowText" lastClr="000000"/>
              </a:solidFill>
            </a:rPr>
            <a:pPr algn="ctr"/>
            <a:t>50,740</a:t>
          </a:fld>
          <a:endParaRPr lang="en-US" sz="900">
            <a:solidFill>
              <a:sysClr val="windowText" lastClr="000000"/>
            </a:solidFill>
          </a:endParaRPr>
        </a:p>
      </cdr:txBody>
    </cdr:sp>
  </cdr:relSizeAnchor>
  <cdr:relSizeAnchor xmlns:cdr="http://schemas.openxmlformats.org/drawingml/2006/chartDrawing">
    <cdr:from>
      <cdr:x>0.86905</cdr:x>
      <cdr:y>0.16981</cdr:y>
    </cdr:from>
    <cdr:to>
      <cdr:x>0.96053</cdr:x>
      <cdr:y>0.28645</cdr:y>
    </cdr:to>
    <cdr:sp macro="" textlink="">
      <cdr:nvSpPr>
        <cdr:cNvPr id="4" name="TextBox 19"/>
        <cdr:cNvSpPr txBox="1"/>
      </cdr:nvSpPr>
      <cdr:spPr>
        <a:xfrm xmlns:a="http://schemas.openxmlformats.org/drawingml/2006/main">
          <a:off x="4403725" y="471487"/>
          <a:ext cx="463550" cy="323851"/>
        </a:xfrm>
        <a:prstGeom xmlns:a="http://schemas.openxmlformats.org/drawingml/2006/main" prst="rect">
          <a:avLst/>
        </a:prstGeom>
        <a:solidFill xmlns:a="http://schemas.openxmlformats.org/drawingml/2006/main">
          <a:schemeClr val="accent6">
            <a:lumMod val="40000"/>
            <a:lumOff val="60000"/>
          </a:schemeClr>
        </a:solidFill>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tx1"/>
        </a:fontRef>
      </cdr:style>
      <cdr:txBody>
        <a:bodyPr xmlns:a="http://schemas.openxmlformats.org/drawingml/2006/main" wrap="none" lIns="0" tIns="0" rIns="0" bIns="0" rtlCol="0" anchor="ctr">
          <a:noAutofit/>
        </a:bodyPr>
        <a:lstStyle xmlns:a="http://schemas.openxmlformats.org/drawingml/2006/main">
          <a:lvl1pPr marL="0" indent="0">
            <a:defRPr sz="1100">
              <a:solidFill>
                <a:schemeClr val="tx1"/>
              </a:solidFill>
              <a:latin typeface="+mn-lt"/>
              <a:ea typeface="+mn-ea"/>
              <a:cs typeface="+mn-cs"/>
            </a:defRPr>
          </a:lvl1pPr>
          <a:lvl2pPr marL="457200" indent="0">
            <a:defRPr sz="1100">
              <a:solidFill>
                <a:schemeClr val="tx1"/>
              </a:solidFill>
              <a:latin typeface="+mn-lt"/>
              <a:ea typeface="+mn-ea"/>
              <a:cs typeface="+mn-cs"/>
            </a:defRPr>
          </a:lvl2pPr>
          <a:lvl3pPr marL="914400" indent="0">
            <a:defRPr sz="1100">
              <a:solidFill>
                <a:schemeClr val="tx1"/>
              </a:solidFill>
              <a:latin typeface="+mn-lt"/>
              <a:ea typeface="+mn-ea"/>
              <a:cs typeface="+mn-cs"/>
            </a:defRPr>
          </a:lvl3pPr>
          <a:lvl4pPr marL="1371600" indent="0">
            <a:defRPr sz="1100">
              <a:solidFill>
                <a:schemeClr val="tx1"/>
              </a:solidFill>
              <a:latin typeface="+mn-lt"/>
              <a:ea typeface="+mn-ea"/>
              <a:cs typeface="+mn-cs"/>
            </a:defRPr>
          </a:lvl4pPr>
          <a:lvl5pPr marL="1828800" indent="0">
            <a:defRPr sz="1100">
              <a:solidFill>
                <a:schemeClr val="tx1"/>
              </a:solidFill>
              <a:latin typeface="+mn-lt"/>
              <a:ea typeface="+mn-ea"/>
              <a:cs typeface="+mn-cs"/>
            </a:defRPr>
          </a:lvl5pPr>
          <a:lvl6pPr marL="2286000" indent="0">
            <a:defRPr sz="1100">
              <a:solidFill>
                <a:schemeClr val="tx1"/>
              </a:solidFill>
              <a:latin typeface="+mn-lt"/>
              <a:ea typeface="+mn-ea"/>
              <a:cs typeface="+mn-cs"/>
            </a:defRPr>
          </a:lvl6pPr>
          <a:lvl7pPr marL="2743200" indent="0">
            <a:defRPr sz="1100">
              <a:solidFill>
                <a:schemeClr val="tx1"/>
              </a:solidFill>
              <a:latin typeface="+mn-lt"/>
              <a:ea typeface="+mn-ea"/>
              <a:cs typeface="+mn-cs"/>
            </a:defRPr>
          </a:lvl7pPr>
          <a:lvl8pPr marL="3200400" indent="0">
            <a:defRPr sz="1100">
              <a:solidFill>
                <a:schemeClr val="tx1"/>
              </a:solidFill>
              <a:latin typeface="+mn-lt"/>
              <a:ea typeface="+mn-ea"/>
              <a:cs typeface="+mn-cs"/>
            </a:defRPr>
          </a:lvl8pPr>
          <a:lvl9pPr marL="3657600" indent="0">
            <a:defRPr sz="1100">
              <a:solidFill>
                <a:schemeClr val="tx1"/>
              </a:solidFill>
              <a:latin typeface="+mn-lt"/>
              <a:ea typeface="+mn-ea"/>
              <a:cs typeface="+mn-cs"/>
            </a:defRPr>
          </a:lvl9pPr>
        </a:lstStyle>
        <a:p xmlns:a="http://schemas.openxmlformats.org/drawingml/2006/main">
          <a:pPr algn="ctr"/>
          <a:fld id="{6478CE89-1A24-468A-9182-B80F639C698F}" type="TxLink">
            <a:rPr lang="en-US" sz="900">
              <a:solidFill>
                <a:sysClr val="windowText" lastClr="000000"/>
              </a:solidFill>
            </a:rPr>
            <a:pPr algn="ctr"/>
            <a:t>12,470</a:t>
          </a:fld>
          <a:endParaRPr lang="en-US" sz="900">
            <a:solidFill>
              <a:sysClr val="windowText" lastClr="000000"/>
            </a:solidFill>
          </a:endParaRPr>
        </a:p>
      </cdr:txBody>
    </cdr:sp>
  </cdr:relSizeAnchor>
  <cdr:relSizeAnchor xmlns:cdr="http://schemas.openxmlformats.org/drawingml/2006/chartDrawing">
    <cdr:from>
      <cdr:x>0.86717</cdr:x>
      <cdr:y>0.32075</cdr:y>
    </cdr:from>
    <cdr:to>
      <cdr:x>0.95865</cdr:x>
      <cdr:y>0.80103</cdr:y>
    </cdr:to>
    <cdr:sp macro="" textlink="">
      <cdr:nvSpPr>
        <cdr:cNvPr id="7" name="TextBox 19"/>
        <cdr:cNvSpPr txBox="1"/>
      </cdr:nvSpPr>
      <cdr:spPr>
        <a:xfrm xmlns:a="http://schemas.openxmlformats.org/drawingml/2006/main">
          <a:off x="4394211" y="890575"/>
          <a:ext cx="463556" cy="1333513"/>
        </a:xfrm>
        <a:prstGeom xmlns:a="http://schemas.openxmlformats.org/drawingml/2006/main" prst="rect">
          <a:avLst/>
        </a:prstGeom>
        <a:solidFill xmlns:a="http://schemas.openxmlformats.org/drawingml/2006/main">
          <a:schemeClr val="accent3">
            <a:lumMod val="40000"/>
            <a:lumOff val="60000"/>
          </a:schemeClr>
        </a:solidFill>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tx1"/>
        </a:fontRef>
      </cdr:style>
      <cdr:txBody>
        <a:bodyPr xmlns:a="http://schemas.openxmlformats.org/drawingml/2006/main" wrap="none" lIns="0" tIns="0" rIns="0" bIns="0" rtlCol="0" anchor="ctr">
          <a:noAutofit/>
        </a:bodyPr>
        <a:lstStyle xmlns:a="http://schemas.openxmlformats.org/drawingml/2006/main">
          <a:lvl1pPr marL="0" indent="0">
            <a:defRPr sz="1100">
              <a:solidFill>
                <a:schemeClr val="tx1"/>
              </a:solidFill>
              <a:latin typeface="+mn-lt"/>
              <a:ea typeface="+mn-ea"/>
              <a:cs typeface="+mn-cs"/>
            </a:defRPr>
          </a:lvl1pPr>
          <a:lvl2pPr marL="457200" indent="0">
            <a:defRPr sz="1100">
              <a:solidFill>
                <a:schemeClr val="tx1"/>
              </a:solidFill>
              <a:latin typeface="+mn-lt"/>
              <a:ea typeface="+mn-ea"/>
              <a:cs typeface="+mn-cs"/>
            </a:defRPr>
          </a:lvl2pPr>
          <a:lvl3pPr marL="914400" indent="0">
            <a:defRPr sz="1100">
              <a:solidFill>
                <a:schemeClr val="tx1"/>
              </a:solidFill>
              <a:latin typeface="+mn-lt"/>
              <a:ea typeface="+mn-ea"/>
              <a:cs typeface="+mn-cs"/>
            </a:defRPr>
          </a:lvl3pPr>
          <a:lvl4pPr marL="1371600" indent="0">
            <a:defRPr sz="1100">
              <a:solidFill>
                <a:schemeClr val="tx1"/>
              </a:solidFill>
              <a:latin typeface="+mn-lt"/>
              <a:ea typeface="+mn-ea"/>
              <a:cs typeface="+mn-cs"/>
            </a:defRPr>
          </a:lvl4pPr>
          <a:lvl5pPr marL="1828800" indent="0">
            <a:defRPr sz="1100">
              <a:solidFill>
                <a:schemeClr val="tx1"/>
              </a:solidFill>
              <a:latin typeface="+mn-lt"/>
              <a:ea typeface="+mn-ea"/>
              <a:cs typeface="+mn-cs"/>
            </a:defRPr>
          </a:lvl5pPr>
          <a:lvl6pPr marL="2286000" indent="0">
            <a:defRPr sz="1100">
              <a:solidFill>
                <a:schemeClr val="tx1"/>
              </a:solidFill>
              <a:latin typeface="+mn-lt"/>
              <a:ea typeface="+mn-ea"/>
              <a:cs typeface="+mn-cs"/>
            </a:defRPr>
          </a:lvl6pPr>
          <a:lvl7pPr marL="2743200" indent="0">
            <a:defRPr sz="1100">
              <a:solidFill>
                <a:schemeClr val="tx1"/>
              </a:solidFill>
              <a:latin typeface="+mn-lt"/>
              <a:ea typeface="+mn-ea"/>
              <a:cs typeface="+mn-cs"/>
            </a:defRPr>
          </a:lvl7pPr>
          <a:lvl8pPr marL="3200400" indent="0">
            <a:defRPr sz="1100">
              <a:solidFill>
                <a:schemeClr val="tx1"/>
              </a:solidFill>
              <a:latin typeface="+mn-lt"/>
              <a:ea typeface="+mn-ea"/>
              <a:cs typeface="+mn-cs"/>
            </a:defRPr>
          </a:lvl8pPr>
          <a:lvl9pPr marL="3657600" indent="0">
            <a:defRPr sz="1100">
              <a:solidFill>
                <a:schemeClr val="tx1"/>
              </a:solidFill>
              <a:latin typeface="+mn-lt"/>
              <a:ea typeface="+mn-ea"/>
              <a:cs typeface="+mn-cs"/>
            </a:defRPr>
          </a:lvl9pPr>
        </a:lstStyle>
        <a:p xmlns:a="http://schemas.openxmlformats.org/drawingml/2006/main">
          <a:pPr algn="ctr"/>
          <a:fld id="{76AD0D0A-76CE-4BFA-AF73-3D6D268B41F5}" type="TxLink">
            <a:rPr lang="en-US" sz="900">
              <a:solidFill>
                <a:sysClr val="windowText" lastClr="000000"/>
              </a:solidFill>
            </a:rPr>
            <a:pPr algn="ctr"/>
            <a:t>38,270</a:t>
          </a:fld>
          <a:endParaRPr lang="en-US" sz="900">
            <a:solidFill>
              <a:sysClr val="windowText" lastClr="000000"/>
            </a:solidFill>
          </a:endParaRP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044466-823F-4FC5-A9A9-E62BA9B35F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1570</TotalTime>
  <Pages>10</Pages>
  <Words>2886</Words>
  <Characters>16969</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Vanuatu Government</Company>
  <LinksUpToDate>false</LinksUpToDate>
  <CharactersWithSpaces>19816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ekillion</dc:creator>
  <cp:lastModifiedBy>Kim Robertson</cp:lastModifiedBy>
  <cp:revision>20</cp:revision>
  <cp:lastPrinted>2012-11-15T00:10:00Z</cp:lastPrinted>
  <dcterms:created xsi:type="dcterms:W3CDTF">2012-09-05T21:01:00Z</dcterms:created>
  <dcterms:modified xsi:type="dcterms:W3CDTF">2012-11-15T00:13:00Z</dcterms:modified>
</cp:coreProperties>
</file>