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7E1" w:rsidRDefault="002923C5" w:rsidP="00943B34">
      <w:pPr>
        <w:pStyle w:val="Heading1"/>
        <w:shd w:val="clear" w:color="auto" w:fill="000000"/>
        <w:jc w:val="both"/>
        <w:rPr>
          <w:color w:val="FFFFFF"/>
        </w:rPr>
      </w:pPr>
      <w:r>
        <w:rPr>
          <w:color w:val="FFFFFF"/>
        </w:rPr>
        <w:t>Survey Methodology</w:t>
      </w:r>
    </w:p>
    <w:p w:rsidR="002923C5" w:rsidRDefault="002923C5" w:rsidP="002923C5">
      <w:pPr>
        <w:jc w:val="both"/>
        <w:rPr>
          <w:lang w:val="en-US"/>
        </w:rPr>
      </w:pPr>
      <w:r>
        <w:rPr>
          <w:lang w:val="en-US"/>
        </w:rPr>
        <w:t>This section provides an explanation of the methods used in the data collection and processing of the survey. This includes: the concepts and definitions used in the survey, the scope and coverage of the data collection, the sample design methodology, a brief commentary on the survey operations, and an assessment of data quality.</w:t>
      </w:r>
    </w:p>
    <w:p w:rsidR="002923C5" w:rsidRDefault="002923C5" w:rsidP="002923C5">
      <w:pPr>
        <w:rPr>
          <w:lang w:val="en-US"/>
        </w:rPr>
      </w:pPr>
    </w:p>
    <w:p w:rsidR="002923C5" w:rsidRPr="000F0A22" w:rsidRDefault="002923C5" w:rsidP="002923C5">
      <w:pPr>
        <w:pStyle w:val="Heading3"/>
        <w:rPr>
          <w:rFonts w:ascii="Times New Roman" w:hAnsi="Times New Roman"/>
          <w:lang w:val="en-US"/>
        </w:rPr>
      </w:pPr>
      <w:bookmarkStart w:id="0" w:name="_Toc174430374"/>
      <w:r w:rsidRPr="000F0A22">
        <w:rPr>
          <w:rFonts w:ascii="Times New Roman" w:hAnsi="Times New Roman"/>
          <w:lang w:val="en-US"/>
        </w:rPr>
        <w:t xml:space="preserve"> Concepts and </w:t>
      </w:r>
      <w:r>
        <w:rPr>
          <w:rFonts w:ascii="Times New Roman" w:hAnsi="Times New Roman"/>
          <w:lang w:val="en-US"/>
        </w:rPr>
        <w:t>d</w:t>
      </w:r>
      <w:r w:rsidRPr="000F0A22">
        <w:rPr>
          <w:rFonts w:ascii="Times New Roman" w:hAnsi="Times New Roman"/>
          <w:lang w:val="en-US"/>
        </w:rPr>
        <w:t>efinitions</w:t>
      </w:r>
      <w:bookmarkEnd w:id="0"/>
    </w:p>
    <w:p w:rsidR="002923C5" w:rsidRDefault="002923C5" w:rsidP="002923C5">
      <w:pPr>
        <w:rPr>
          <w:lang w:val="en-US"/>
        </w:rPr>
      </w:pPr>
    </w:p>
    <w:p w:rsidR="002923C5" w:rsidRPr="00B14BCE" w:rsidRDefault="002923C5" w:rsidP="002923C5">
      <w:pPr>
        <w:jc w:val="both"/>
        <w:rPr>
          <w:lang w:val="en-US"/>
        </w:rPr>
      </w:pPr>
      <w:r w:rsidRPr="00B14BCE">
        <w:rPr>
          <w:lang w:val="en-US"/>
        </w:rPr>
        <w:t>There have been various international guidelines prepared to help in developing definitions of income and expenditure. Th</w:t>
      </w:r>
      <w:r>
        <w:rPr>
          <w:lang w:val="en-US"/>
        </w:rPr>
        <w:t>is survey closely follows the</w:t>
      </w:r>
      <w:r w:rsidRPr="00B14BCE">
        <w:rPr>
          <w:lang w:val="en-US"/>
        </w:rPr>
        <w:t xml:space="preserve"> international standard </w:t>
      </w:r>
      <w:r>
        <w:rPr>
          <w:lang w:val="en-US"/>
        </w:rPr>
        <w:t xml:space="preserve">of the </w:t>
      </w:r>
      <w:r w:rsidRPr="00B14BCE">
        <w:rPr>
          <w:lang w:val="en-US"/>
        </w:rPr>
        <w:t>International Conference of Labour Statisticians (ICLS)</w:t>
      </w:r>
      <w:r>
        <w:rPr>
          <w:lang w:val="en-US"/>
        </w:rPr>
        <w:t xml:space="preserve">. </w:t>
      </w:r>
      <w:r w:rsidRPr="00B14BCE">
        <w:rPr>
          <w:lang w:val="en-US"/>
        </w:rPr>
        <w:t xml:space="preserve">The broad concept of </w:t>
      </w:r>
      <w:r>
        <w:rPr>
          <w:lang w:val="en-US"/>
        </w:rPr>
        <w:t xml:space="preserve">household </w:t>
      </w:r>
      <w:r w:rsidRPr="00B14BCE">
        <w:rPr>
          <w:lang w:val="en-US"/>
        </w:rPr>
        <w:t xml:space="preserve">income </w:t>
      </w:r>
      <w:r>
        <w:rPr>
          <w:lang w:val="en-US"/>
        </w:rPr>
        <w:t xml:space="preserve">and expenditure </w:t>
      </w:r>
      <w:r w:rsidRPr="00B14BCE">
        <w:rPr>
          <w:lang w:val="en-US"/>
        </w:rPr>
        <w:t>is described as follows</w:t>
      </w:r>
      <w:r>
        <w:rPr>
          <w:lang w:val="en-US"/>
        </w:rPr>
        <w:t>:</w:t>
      </w:r>
    </w:p>
    <w:p w:rsidR="002923C5" w:rsidRDefault="002923C5" w:rsidP="002923C5">
      <w:pPr>
        <w:rPr>
          <w:lang w:val="en-US"/>
        </w:rPr>
      </w:pPr>
    </w:p>
    <w:p w:rsidR="002923C5" w:rsidRDefault="002923C5" w:rsidP="002923C5">
      <w:pPr>
        <w:rPr>
          <w:lang w:val="en-US"/>
        </w:rPr>
      </w:pPr>
      <w:r>
        <w:rPr>
          <w:lang w:val="en-US"/>
        </w:rPr>
        <w:t>Household Income</w:t>
      </w:r>
    </w:p>
    <w:p w:rsidR="002923C5" w:rsidRDefault="002923C5" w:rsidP="002923C5">
      <w:pPr>
        <w:rPr>
          <w:lang w:val="en-US"/>
        </w:rPr>
      </w:pPr>
    </w:p>
    <w:p w:rsidR="002923C5" w:rsidRPr="00D753C7" w:rsidRDefault="002923C5" w:rsidP="002923C5">
      <w:pPr>
        <w:ind w:left="284" w:right="284"/>
        <w:jc w:val="both"/>
        <w:rPr>
          <w:lang w:val="en-US"/>
        </w:rPr>
      </w:pPr>
      <w:r>
        <w:rPr>
          <w:lang w:val="en-US"/>
        </w:rPr>
        <w:t>“</w:t>
      </w:r>
      <w:r w:rsidRPr="00D753C7">
        <w:rPr>
          <w:lang w:val="en-US"/>
        </w:rPr>
        <w:t>Household income consists of all receipts whether monetary or in kind (goods and</w:t>
      </w:r>
      <w:r>
        <w:rPr>
          <w:lang w:val="en-US"/>
        </w:rPr>
        <w:t xml:space="preserve"> </w:t>
      </w:r>
      <w:r w:rsidRPr="00D753C7">
        <w:rPr>
          <w:lang w:val="en-US"/>
        </w:rPr>
        <w:t>services) that are received by the household or by individual members of the household at annual</w:t>
      </w:r>
      <w:r>
        <w:rPr>
          <w:lang w:val="en-US"/>
        </w:rPr>
        <w:t xml:space="preserve"> </w:t>
      </w:r>
      <w:r w:rsidRPr="00D753C7">
        <w:rPr>
          <w:lang w:val="en-US"/>
        </w:rPr>
        <w:t xml:space="preserve">or more frequent intervals, but </w:t>
      </w:r>
      <w:proofErr w:type="gramStart"/>
      <w:r w:rsidRPr="00D753C7">
        <w:rPr>
          <w:lang w:val="en-US"/>
        </w:rPr>
        <w:t>excludes</w:t>
      </w:r>
      <w:proofErr w:type="gramEnd"/>
      <w:r w:rsidRPr="00D753C7">
        <w:rPr>
          <w:lang w:val="en-US"/>
        </w:rPr>
        <w:t xml:space="preserve"> windfall gains and other such irregular and typically onetime</w:t>
      </w:r>
      <w:r>
        <w:rPr>
          <w:lang w:val="en-US"/>
        </w:rPr>
        <w:t xml:space="preserve"> </w:t>
      </w:r>
      <w:r w:rsidRPr="00D753C7">
        <w:rPr>
          <w:lang w:val="en-US"/>
        </w:rPr>
        <w:t>receipts. Household income receipts are available for current consumption and do not reduce</w:t>
      </w:r>
      <w:r>
        <w:rPr>
          <w:lang w:val="en-US"/>
        </w:rPr>
        <w:t xml:space="preserve"> </w:t>
      </w:r>
      <w:r w:rsidRPr="00D753C7">
        <w:rPr>
          <w:lang w:val="en-US"/>
        </w:rPr>
        <w:t>the net worth of the household through a reduction of its cash, the disposal of its other financial or</w:t>
      </w:r>
      <w:r>
        <w:rPr>
          <w:lang w:val="en-US"/>
        </w:rPr>
        <w:t xml:space="preserve"> </w:t>
      </w:r>
      <w:r w:rsidRPr="00D753C7">
        <w:rPr>
          <w:lang w:val="en-US"/>
        </w:rPr>
        <w:t>non-financial assets or an increase in its liabilities.</w:t>
      </w:r>
      <w:r>
        <w:rPr>
          <w:lang w:val="en-US"/>
        </w:rPr>
        <w:t xml:space="preserve"> </w:t>
      </w:r>
      <w:r w:rsidRPr="00D753C7">
        <w:rPr>
          <w:lang w:val="en-US"/>
        </w:rPr>
        <w:t>Household income may be defined to cover: (</w:t>
      </w:r>
      <w:proofErr w:type="spellStart"/>
      <w:r w:rsidRPr="00D753C7">
        <w:rPr>
          <w:lang w:val="en-US"/>
        </w:rPr>
        <w:t>i</w:t>
      </w:r>
      <w:proofErr w:type="spellEnd"/>
      <w:r w:rsidRPr="00D753C7">
        <w:rPr>
          <w:lang w:val="en-US"/>
        </w:rPr>
        <w:t>) income from employment (both paid and</w:t>
      </w:r>
      <w:r>
        <w:rPr>
          <w:lang w:val="en-US"/>
        </w:rPr>
        <w:t xml:space="preserve"> </w:t>
      </w:r>
      <w:r w:rsidRPr="00D753C7">
        <w:rPr>
          <w:lang w:val="en-US"/>
        </w:rPr>
        <w:t>self-employment); (ii) property income; (iii) income from the production of household services for</w:t>
      </w:r>
      <w:r>
        <w:rPr>
          <w:lang w:val="en-US"/>
        </w:rPr>
        <w:t xml:space="preserve"> </w:t>
      </w:r>
      <w:r w:rsidRPr="00D753C7">
        <w:rPr>
          <w:lang w:val="en-US"/>
        </w:rPr>
        <w:t xml:space="preserve">own consumption; and </w:t>
      </w:r>
      <w:proofErr w:type="gramStart"/>
      <w:r w:rsidRPr="00D753C7">
        <w:rPr>
          <w:lang w:val="en-US"/>
        </w:rPr>
        <w:t>(iv)</w:t>
      </w:r>
      <w:r>
        <w:rPr>
          <w:lang w:val="en-US"/>
        </w:rPr>
        <w:t xml:space="preserve"> </w:t>
      </w:r>
      <w:r w:rsidRPr="00D753C7">
        <w:rPr>
          <w:lang w:val="en-US"/>
        </w:rPr>
        <w:t>current</w:t>
      </w:r>
      <w:proofErr w:type="gramEnd"/>
      <w:r w:rsidRPr="00D753C7">
        <w:rPr>
          <w:lang w:val="en-US"/>
        </w:rPr>
        <w:t xml:space="preserve"> transfers received</w:t>
      </w:r>
      <w:r>
        <w:rPr>
          <w:lang w:val="en-US"/>
        </w:rPr>
        <w:t>”</w:t>
      </w:r>
      <w:r w:rsidRPr="00D753C7">
        <w:rPr>
          <w:lang w:val="en-US"/>
        </w:rPr>
        <w:t>.</w:t>
      </w:r>
      <w:r>
        <w:rPr>
          <w:lang w:val="en-US"/>
        </w:rPr>
        <w:t xml:space="preserve"> (ICLS Resolution)</w:t>
      </w:r>
    </w:p>
    <w:p w:rsidR="002923C5" w:rsidRDefault="002923C5" w:rsidP="002923C5">
      <w:pPr>
        <w:rPr>
          <w:lang w:val="en-US"/>
        </w:rPr>
      </w:pPr>
    </w:p>
    <w:p w:rsidR="002923C5" w:rsidRDefault="002923C5" w:rsidP="002923C5">
      <w:pPr>
        <w:rPr>
          <w:lang w:val="en-US"/>
        </w:rPr>
      </w:pPr>
      <w:r>
        <w:rPr>
          <w:lang w:val="en-US"/>
        </w:rPr>
        <w:t>Household Expenditure</w:t>
      </w:r>
    </w:p>
    <w:p w:rsidR="002923C5" w:rsidRDefault="002923C5" w:rsidP="002923C5">
      <w:pPr>
        <w:rPr>
          <w:lang w:val="en-US"/>
        </w:rPr>
      </w:pPr>
    </w:p>
    <w:p w:rsidR="002923C5" w:rsidRPr="00D753C7" w:rsidRDefault="002923C5" w:rsidP="002923C5">
      <w:pPr>
        <w:ind w:left="284" w:right="284"/>
        <w:jc w:val="both"/>
        <w:rPr>
          <w:lang w:val="en-US"/>
        </w:rPr>
      </w:pPr>
      <w:r>
        <w:rPr>
          <w:lang w:val="en-US"/>
        </w:rPr>
        <w:t>“</w:t>
      </w:r>
      <w:r w:rsidRPr="00D753C7">
        <w:rPr>
          <w:lang w:val="en-US"/>
        </w:rPr>
        <w:t>Consumer goods and services are those used by a household to directly satisfy the</w:t>
      </w:r>
      <w:r>
        <w:rPr>
          <w:lang w:val="en-US"/>
        </w:rPr>
        <w:t xml:space="preserve"> </w:t>
      </w:r>
      <w:r w:rsidRPr="00D753C7">
        <w:rPr>
          <w:lang w:val="en-US"/>
        </w:rPr>
        <w:t>personal needs and wants of its members. Household consumption expenditure is the value of</w:t>
      </w:r>
      <w:r>
        <w:rPr>
          <w:lang w:val="en-US"/>
        </w:rPr>
        <w:t xml:space="preserve"> </w:t>
      </w:r>
      <w:r w:rsidRPr="00D753C7">
        <w:rPr>
          <w:lang w:val="en-US"/>
        </w:rPr>
        <w:t>consumer goods and services acquired, used or paid for by a household through direct monetary</w:t>
      </w:r>
      <w:r>
        <w:rPr>
          <w:lang w:val="en-US"/>
        </w:rPr>
        <w:t xml:space="preserve"> </w:t>
      </w:r>
      <w:r w:rsidRPr="00D753C7">
        <w:rPr>
          <w:lang w:val="en-US"/>
        </w:rPr>
        <w:t>purchases, own-account production, barter or as income in-kind for the satisfaction of the needs</w:t>
      </w:r>
      <w:r>
        <w:rPr>
          <w:lang w:val="en-US"/>
        </w:rPr>
        <w:t xml:space="preserve"> </w:t>
      </w:r>
      <w:r w:rsidRPr="00D753C7">
        <w:rPr>
          <w:lang w:val="en-US"/>
        </w:rPr>
        <w:t>and wants of its members.</w:t>
      </w:r>
      <w:r>
        <w:rPr>
          <w:lang w:val="en-US"/>
        </w:rPr>
        <w:t xml:space="preserve"> </w:t>
      </w:r>
      <w:r w:rsidRPr="00D753C7">
        <w:rPr>
          <w:lang w:val="en-US"/>
        </w:rPr>
        <w:t>Household expenditure is defined as the sum of household consumption</w:t>
      </w:r>
      <w:r>
        <w:rPr>
          <w:lang w:val="en-US"/>
        </w:rPr>
        <w:t xml:space="preserve"> </w:t>
      </w:r>
      <w:r w:rsidRPr="00D753C7">
        <w:rPr>
          <w:lang w:val="en-US"/>
        </w:rPr>
        <w:t>expenditure</w:t>
      </w:r>
      <w:r>
        <w:rPr>
          <w:lang w:val="en-US"/>
        </w:rPr>
        <w:t xml:space="preserve"> </w:t>
      </w:r>
      <w:r w:rsidRPr="00D753C7">
        <w:rPr>
          <w:lang w:val="en-US"/>
        </w:rPr>
        <w:t>and the non-consumption expenditures of the household. The latter are those expenditures</w:t>
      </w:r>
      <w:r>
        <w:rPr>
          <w:lang w:val="en-US"/>
        </w:rPr>
        <w:t xml:space="preserve"> </w:t>
      </w:r>
      <w:r w:rsidRPr="00D753C7">
        <w:rPr>
          <w:lang w:val="en-US"/>
        </w:rPr>
        <w:t>incurred by a household as transfers made to government, non-profit institutions and other</w:t>
      </w:r>
      <w:r>
        <w:rPr>
          <w:lang w:val="en-US"/>
        </w:rPr>
        <w:t xml:space="preserve"> </w:t>
      </w:r>
      <w:r w:rsidRPr="00D753C7">
        <w:rPr>
          <w:lang w:val="en-US"/>
        </w:rPr>
        <w:t>households, without acquiring any goods or services in return for the satisfaction of the needs of its</w:t>
      </w:r>
      <w:r>
        <w:rPr>
          <w:lang w:val="en-US"/>
        </w:rPr>
        <w:t xml:space="preserve"> </w:t>
      </w:r>
      <w:r w:rsidRPr="00D753C7">
        <w:rPr>
          <w:lang w:val="en-US"/>
        </w:rPr>
        <w:t>members. Household expenditure represents the total outlay that a household has to make to</w:t>
      </w:r>
      <w:r>
        <w:rPr>
          <w:lang w:val="en-US"/>
        </w:rPr>
        <w:t xml:space="preserve"> </w:t>
      </w:r>
      <w:r w:rsidRPr="00D753C7">
        <w:rPr>
          <w:lang w:val="en-US"/>
        </w:rPr>
        <w:t>satisfy its needs and meet its “legal” commitments.</w:t>
      </w:r>
      <w:r>
        <w:rPr>
          <w:lang w:val="en-US"/>
        </w:rPr>
        <w:t>” (ICLS Resolution)</w:t>
      </w:r>
    </w:p>
    <w:p w:rsidR="002923C5" w:rsidRDefault="002923C5" w:rsidP="002923C5">
      <w:pPr>
        <w:rPr>
          <w:lang w:val="en-US"/>
        </w:rPr>
      </w:pPr>
    </w:p>
    <w:p w:rsidR="002923C5" w:rsidRDefault="002923C5" w:rsidP="002923C5">
      <w:pPr>
        <w:rPr>
          <w:lang w:val="en-US"/>
        </w:rPr>
      </w:pPr>
      <w:r>
        <w:rPr>
          <w:lang w:val="en-US"/>
        </w:rPr>
        <w:t xml:space="preserve">It should be noted that in this report imputed rents for owner-occupied dwellings and rent-free dwellings have not been included in the detailed tables. However a separate table is included in the appendix. A more detailed explanation of what income and expenditure items are included in the survey </w:t>
      </w:r>
      <w:r w:rsidRPr="008D63D2">
        <w:rPr>
          <w:rFonts w:ascii="Times" w:hAnsi="Times"/>
          <w:b/>
          <w:color w:val="0000FF"/>
          <w:lang w:val="en-US"/>
        </w:rPr>
        <w:t>is</w:t>
      </w:r>
      <w:r>
        <w:rPr>
          <w:lang w:val="en-US"/>
        </w:rPr>
        <w:t xml:space="preserve"> also provided in the appendix.</w:t>
      </w:r>
    </w:p>
    <w:p w:rsidR="002923C5" w:rsidRPr="00D753C7" w:rsidRDefault="002923C5" w:rsidP="002923C5">
      <w:pPr>
        <w:rPr>
          <w:lang w:val="en-US"/>
        </w:rPr>
      </w:pPr>
    </w:p>
    <w:p w:rsidR="002923C5" w:rsidRPr="008F0507" w:rsidRDefault="002923C5" w:rsidP="002923C5">
      <w:pPr>
        <w:pStyle w:val="Heading3"/>
        <w:rPr>
          <w:rFonts w:ascii="Times New Roman" w:hAnsi="Times New Roman" w:cs="Times New Roman"/>
        </w:rPr>
      </w:pPr>
      <w:r>
        <w:rPr>
          <w:rFonts w:ascii="Times New Roman" w:hAnsi="Times New Roman" w:cs="Times New Roman"/>
        </w:rPr>
        <w:br w:type="column"/>
      </w:r>
      <w:bookmarkStart w:id="1" w:name="_Toc174430375"/>
      <w:r w:rsidRPr="008F0507">
        <w:rPr>
          <w:rFonts w:ascii="Times New Roman" w:hAnsi="Times New Roman" w:cs="Times New Roman"/>
        </w:rPr>
        <w:lastRenderedPageBreak/>
        <w:t>Scope and coverage</w:t>
      </w:r>
      <w:bookmarkEnd w:id="1"/>
    </w:p>
    <w:p w:rsidR="002923C5" w:rsidRDefault="002923C5" w:rsidP="002923C5"/>
    <w:p w:rsidR="002923C5" w:rsidRDefault="002923C5" w:rsidP="002923C5">
      <w:r>
        <w:t xml:space="preserve">There are eight main populations of interest for which </w:t>
      </w:r>
      <w:r w:rsidRPr="00515DF9">
        <w:t>estimates are required for the 20</w:t>
      </w:r>
      <w:r>
        <w:t>10</w:t>
      </w:r>
      <w:r w:rsidRPr="00515DF9">
        <w:t xml:space="preserve"> HIES</w:t>
      </w:r>
      <w:r>
        <w:t>:</w:t>
      </w:r>
      <w:r w:rsidRPr="00515DF9">
        <w:t xml:space="preserve">  </w:t>
      </w:r>
      <w:r>
        <w:t xml:space="preserve">the provincial rural areas of Torba, Sanma, Penama, Malampa, Shefa, Tafea and the urban areas of Luganville and Port Vila. </w:t>
      </w:r>
      <w:r w:rsidRPr="00515DF9">
        <w:t>For this reason</w:t>
      </w:r>
      <w:r>
        <w:t>, the detailed analysis focuses on households from each of the</w:t>
      </w:r>
      <w:r w:rsidRPr="00515DF9">
        <w:t xml:space="preserve"> </w:t>
      </w:r>
      <w:r>
        <w:t>eight</w:t>
      </w:r>
      <w:r w:rsidRPr="00515DF9">
        <w:t xml:space="preserve"> sub-populations.  </w:t>
      </w:r>
      <w:r>
        <w:t>Based on the 2009 Population and Housing Census, 78 percent of the households are located in rural areas and 22 percent in urban areas.</w:t>
      </w:r>
    </w:p>
    <w:p w:rsidR="002923C5" w:rsidRDefault="002923C5" w:rsidP="002923C5">
      <w:r>
        <w:t xml:space="preserve"> </w:t>
      </w:r>
    </w:p>
    <w:p w:rsidR="002923C5" w:rsidRDefault="002923C5" w:rsidP="002923C5">
      <w:r>
        <w:t xml:space="preserve">Owing to cost and time </w:t>
      </w:r>
      <w:r w:rsidRPr="008D63D2">
        <w:rPr>
          <w:rFonts w:ascii="Times" w:hAnsi="Times"/>
          <w:b/>
          <w:color w:val="0000FF"/>
        </w:rPr>
        <w:t>constraints</w:t>
      </w:r>
      <w:r>
        <w:t xml:space="preserve">, some remote areas were not considered eligible for selection for the survey. Therefore the scope of the survey was reduced to 82.5 percent of all households in the population. As shown in figure 3.1, substantial reductions in scope occurred in Torba (62% in scope) and Malampa (68%) provinces. No enumeration areas were excluded in urban areas. While this may introduce some systematic bias, especially for the areas affected, the reduction of scope is not expected to affect the overall representativeness of the sample. </w:t>
      </w:r>
    </w:p>
    <w:p w:rsidR="002923C5" w:rsidRDefault="002923C5" w:rsidP="002923C5"/>
    <w:p w:rsidR="002923C5" w:rsidRDefault="002923C5" w:rsidP="002923C5">
      <w:r>
        <w:t>The survey coverage included only persons living in private households during the survey period (</w:t>
      </w:r>
      <w:r w:rsidR="0087415B">
        <w:t>October</w:t>
      </w:r>
      <w:r>
        <w:t xml:space="preserve"> to </w:t>
      </w:r>
      <w:r w:rsidR="0087415B">
        <w:t>December</w:t>
      </w:r>
      <w:r>
        <w:t xml:space="preserve"> 20</w:t>
      </w:r>
      <w:r w:rsidR="0087415B">
        <w:t>10</w:t>
      </w:r>
      <w:r>
        <w:t xml:space="preserve">). Persons living in institutions, such as school dormitories, hospital wards, hostels, prisons, as well as those households which had temporarily vacated their dwellings were excluded from the survey. Also excluded from the survey were ex-patriot temporary residents and permanent residents who were not residing (and intending to reside) in </w:t>
      </w:r>
      <w:smartTag w:uri="urn:schemas-microsoft-com:office:smarttags" w:element="place">
        <w:smartTag w:uri="urn:schemas-microsoft-com:office:smarttags" w:element="country-region">
          <w:r>
            <w:t>Vanuatu</w:t>
          </w:r>
        </w:smartTag>
      </w:smartTag>
      <w:r>
        <w:t xml:space="preserve"> for at least 12 months. </w:t>
      </w:r>
    </w:p>
    <w:p w:rsidR="002923C5" w:rsidRDefault="002923C5" w:rsidP="002923C5"/>
    <w:p w:rsidR="002923C5" w:rsidRPr="008F0507" w:rsidRDefault="002923C5" w:rsidP="002923C5">
      <w:pPr>
        <w:pStyle w:val="Heading3"/>
        <w:ind w:firstLine="1440"/>
        <w:rPr>
          <w:rFonts w:ascii="Times New Roman" w:hAnsi="Times New Roman"/>
        </w:rPr>
      </w:pPr>
      <w:bookmarkStart w:id="2" w:name="_Toc174430231"/>
      <w:bookmarkStart w:id="3" w:name="_Toc174430376"/>
      <w:r>
        <w:rPr>
          <w:rFonts w:ascii="Times New Roman" w:hAnsi="Times New Roman" w:cs="Times New Roman"/>
          <w:noProof/>
          <w:sz w:val="24"/>
          <w:szCs w:val="24"/>
          <w:lang w:val="en-US"/>
        </w:rPr>
        <w:drawing>
          <wp:anchor distT="0" distB="0" distL="114300" distR="114300" simplePos="0" relativeHeight="251660288" behindDoc="0" locked="0" layoutInCell="1" allowOverlap="1">
            <wp:simplePos x="0" y="0"/>
            <wp:positionH relativeFrom="column">
              <wp:posOffset>712470</wp:posOffset>
            </wp:positionH>
            <wp:positionV relativeFrom="paragraph">
              <wp:posOffset>397510</wp:posOffset>
            </wp:positionV>
            <wp:extent cx="4987290" cy="3750310"/>
            <wp:effectExtent l="1905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987290" cy="3750310"/>
                    </a:xfrm>
                    <a:prstGeom prst="rect">
                      <a:avLst/>
                    </a:prstGeom>
                    <a:noFill/>
                    <a:ln w="9525">
                      <a:noFill/>
                      <a:miter lim="800000"/>
                      <a:headEnd/>
                      <a:tailEnd/>
                    </a:ln>
                  </pic:spPr>
                </pic:pic>
              </a:graphicData>
            </a:graphic>
          </wp:anchor>
        </w:drawing>
      </w:r>
      <w:r w:rsidRPr="00DA1398">
        <w:rPr>
          <w:rFonts w:ascii="Times New Roman" w:hAnsi="Times New Roman" w:cs="Times New Roman"/>
          <w:sz w:val="24"/>
          <w:szCs w:val="24"/>
        </w:rPr>
        <w:t xml:space="preserve">Figure </w:t>
      </w:r>
      <w:r>
        <w:rPr>
          <w:rFonts w:ascii="Times New Roman" w:hAnsi="Times New Roman" w:cs="Times New Roman"/>
          <w:sz w:val="24"/>
          <w:szCs w:val="24"/>
        </w:rPr>
        <w:t>3.</w:t>
      </w:r>
      <w:r w:rsidRPr="00DA1398">
        <w:rPr>
          <w:rFonts w:ascii="Times New Roman" w:hAnsi="Times New Roman" w:cs="Times New Roman"/>
          <w:sz w:val="24"/>
          <w:szCs w:val="24"/>
        </w:rPr>
        <w:t>1: Percentage of Households in Scope of the Survey by Province</w:t>
      </w:r>
      <w:r w:rsidRPr="00DA1398">
        <w:rPr>
          <w:rFonts w:ascii="Times New Roman" w:hAnsi="Times New Roman" w:cs="Times New Roman"/>
          <w:sz w:val="24"/>
          <w:szCs w:val="24"/>
        </w:rPr>
        <w:br w:type="column"/>
      </w:r>
      <w:bookmarkStart w:id="4" w:name="_Toc174430377"/>
      <w:r w:rsidRPr="008F0507">
        <w:rPr>
          <w:rFonts w:ascii="Times New Roman" w:hAnsi="Times New Roman"/>
        </w:rPr>
        <w:lastRenderedPageBreak/>
        <w:t>Sample Design</w:t>
      </w:r>
      <w:bookmarkEnd w:id="2"/>
      <w:bookmarkEnd w:id="3"/>
      <w:bookmarkEnd w:id="4"/>
    </w:p>
    <w:p w:rsidR="002923C5" w:rsidRDefault="002923C5" w:rsidP="002923C5"/>
    <w:p w:rsidR="002923C5" w:rsidRDefault="002923C5" w:rsidP="002923C5">
      <w:r>
        <w:t>The sampling method adopted for the survey was a two-stage approach.  The first stage involved the selection of Enumeration Areas (EA) using probability proportional to size (PPS) sampling.  The size measure was the number of expected households in the EA, based on 20</w:t>
      </w:r>
      <w:r w:rsidR="00DB2ECE">
        <w:t>10</w:t>
      </w:r>
      <w:r>
        <w:t xml:space="preserve"> population census estimates. Although it would be desirable to cover all of </w:t>
      </w:r>
      <w:smartTag w:uri="urn:schemas-microsoft-com:office:smarttags" w:element="place">
        <w:smartTag w:uri="urn:schemas-microsoft-com:office:smarttags" w:element="country-region">
          <w:r>
            <w:t>Vanuatu</w:t>
          </w:r>
        </w:smartTag>
      </w:smartTag>
      <w:r>
        <w:t xml:space="preserve"> for this survey, due to cost and time constraints some </w:t>
      </w:r>
      <w:proofErr w:type="spellStart"/>
      <w:r>
        <w:t>EAs</w:t>
      </w:r>
      <w:proofErr w:type="spellEnd"/>
      <w:r>
        <w:t xml:space="preserve"> were excluded from the frame before the selections were made.  The impact on sub-population estimates will differ, as some areas have had larger scope reductions.   </w:t>
      </w:r>
    </w:p>
    <w:p w:rsidR="002923C5" w:rsidRDefault="002923C5" w:rsidP="002923C5"/>
    <w:p w:rsidR="001C2938" w:rsidRDefault="002923C5" w:rsidP="002923C5">
      <w:r>
        <w:t xml:space="preserve">The second stage of sampling adopted systematic sampling from a list of all households contained in the EA.  These lists were produced in the field by enumerators during the first visit to the EA. Once the sample had been selected, a review of where the selections were made was conducted to see how well they covered the projects of interest to the MCA. </w:t>
      </w:r>
      <w:r w:rsidR="001C2938">
        <w:t>Approximately 18 Enumeration Areas (EA) were selected on Efate and 21 between Port Olry and Luganville. These provide a very good representation of each of the areas and thus no top up was required.</w:t>
      </w:r>
    </w:p>
    <w:p w:rsidR="001C2938" w:rsidRDefault="001C2938" w:rsidP="002923C5"/>
    <w:p w:rsidR="002923C5" w:rsidRDefault="001C2938" w:rsidP="002923C5">
      <w:r>
        <w:t xml:space="preserve"> </w:t>
      </w:r>
      <w:r w:rsidR="002923C5">
        <w:t>Eight target areas were identified as sub-populations for which estimates would be desirable.  These eight areas included the six provinces with separate target areas for the urban centres of Port Vila and Luganville. In order to achieve the required level of accuracy, different sample allocations were produced to determine which allocation would produce estimates of similar level accuracy for each target area.  The sample allocation resulted in approximately 600 households selected for each province, except for Luganville and Torba where less than 5</w:t>
      </w:r>
      <w:r>
        <w:t>5</w:t>
      </w:r>
      <w:r w:rsidR="002923C5">
        <w:t>0 households were selected.</w:t>
      </w:r>
    </w:p>
    <w:p w:rsidR="002923C5" w:rsidRDefault="002923C5" w:rsidP="002923C5"/>
    <w:p w:rsidR="002923C5" w:rsidRDefault="002923C5" w:rsidP="002923C5">
      <w:r>
        <w:t>Within each target area, further stratification was adopted in order to enhance suitable representation within each of the different area types.  Strata were determined by allocating Area Councils to area types based on the Area Council’s accessibility.  As a result, 21 strata were created for the final sample. Sample allocation to each stratum was performed by allocating proportionally to the population within each “target area”.  The sample weights were calculated for each stratum separately and were adjusted for non-response and benchmarked against household counts from the 20</w:t>
      </w:r>
      <w:r w:rsidR="001C2938">
        <w:t>09 population and housing census</w:t>
      </w:r>
      <w:r>
        <w:t xml:space="preserve">. </w:t>
      </w:r>
    </w:p>
    <w:p w:rsidR="002923C5" w:rsidRDefault="002923C5" w:rsidP="002923C5">
      <w:pPr>
        <w:rPr>
          <w:b/>
          <w:u w:val="single"/>
        </w:rPr>
      </w:pPr>
    </w:p>
    <w:p w:rsidR="002923C5" w:rsidRDefault="002923C5" w:rsidP="002923C5">
      <w:pPr>
        <w:rPr>
          <w:b/>
          <w:u w:val="single"/>
        </w:rPr>
      </w:pPr>
    </w:p>
    <w:p w:rsidR="002923C5" w:rsidRDefault="002923C5" w:rsidP="002923C5">
      <w:pPr>
        <w:rPr>
          <w:b/>
          <w:u w:val="single"/>
        </w:rPr>
      </w:pPr>
    </w:p>
    <w:p w:rsidR="002923C5" w:rsidRPr="008F0507" w:rsidRDefault="002923C5" w:rsidP="002923C5">
      <w:pPr>
        <w:pStyle w:val="Heading3"/>
        <w:rPr>
          <w:rFonts w:ascii="Times New Roman" w:hAnsi="Times New Roman"/>
        </w:rPr>
      </w:pPr>
      <w:r>
        <w:rPr>
          <w:rFonts w:ascii="Times New Roman" w:hAnsi="Times New Roman"/>
        </w:rPr>
        <w:br w:type="column"/>
      </w:r>
      <w:bookmarkStart w:id="5" w:name="_Toc174430378"/>
      <w:r w:rsidRPr="008F0507">
        <w:rPr>
          <w:rFonts w:ascii="Times New Roman" w:hAnsi="Times New Roman"/>
        </w:rPr>
        <w:lastRenderedPageBreak/>
        <w:t>Survey operations</w:t>
      </w:r>
      <w:bookmarkEnd w:id="5"/>
      <w:r w:rsidRPr="008F0507">
        <w:rPr>
          <w:rFonts w:ascii="Times New Roman" w:hAnsi="Times New Roman"/>
        </w:rPr>
        <w:t xml:space="preserve">           </w:t>
      </w:r>
    </w:p>
    <w:p w:rsidR="002923C5" w:rsidRDefault="002923C5" w:rsidP="002923C5"/>
    <w:p w:rsidR="002923C5" w:rsidRDefault="002923C5" w:rsidP="002923C5">
      <w:r>
        <w:t xml:space="preserve">The survey was conducted over a </w:t>
      </w:r>
      <w:r w:rsidR="001C2938">
        <w:t>three</w:t>
      </w:r>
      <w:r>
        <w:t xml:space="preserve"> month period beginning in the </w:t>
      </w:r>
      <w:r w:rsidR="00FB5F57">
        <w:t>second</w:t>
      </w:r>
      <w:r>
        <w:t xml:space="preserve"> week of </w:t>
      </w:r>
      <w:r w:rsidR="00E25133">
        <w:t>October</w:t>
      </w:r>
      <w:r>
        <w:t xml:space="preserve"> and finishing at the </w:t>
      </w:r>
      <w:r w:rsidR="00FB5F57">
        <w:t>beginning of January</w:t>
      </w:r>
      <w:r>
        <w:t xml:space="preserve"> 20</w:t>
      </w:r>
      <w:r w:rsidR="00E25133">
        <w:t>1</w:t>
      </w:r>
      <w:r w:rsidR="00FB5F57">
        <w:t>1</w:t>
      </w:r>
      <w:r>
        <w:t xml:space="preserve">. (Some </w:t>
      </w:r>
      <w:proofErr w:type="spellStart"/>
      <w:r>
        <w:t>EAs</w:t>
      </w:r>
      <w:proofErr w:type="spellEnd"/>
      <w:r>
        <w:t xml:space="preserve"> that </w:t>
      </w:r>
      <w:r w:rsidR="00FB5F57">
        <w:t>had</w:t>
      </w:r>
      <w:r>
        <w:t xml:space="preserve"> not been enumerated as planned were later enumerated in </w:t>
      </w:r>
      <w:r w:rsidR="00E25133">
        <w:t>January</w:t>
      </w:r>
      <w:r>
        <w:t xml:space="preserve">). The National Statistics Office recruited and trained </w:t>
      </w:r>
      <w:r w:rsidR="00E25133">
        <w:t>73</w:t>
      </w:r>
      <w:r>
        <w:t xml:space="preserve"> supervisors and 1</w:t>
      </w:r>
      <w:r w:rsidR="00E25133">
        <w:t>69</w:t>
      </w:r>
      <w:r>
        <w:t xml:space="preserve"> interviewers to conduct the survey in the </w:t>
      </w:r>
      <w:r w:rsidR="00FB5F57">
        <w:t>six</w:t>
      </w:r>
      <w:r>
        <w:t xml:space="preserve"> provincial areas and </w:t>
      </w:r>
      <w:r w:rsidR="00FB5F57">
        <w:t>two</w:t>
      </w:r>
      <w:r>
        <w:t xml:space="preserve"> urban centres. Over the survey period each interviewer completed three workloads of about 4</w:t>
      </w:r>
      <w:r w:rsidR="00E25133">
        <w:t>0</w:t>
      </w:r>
      <w:r>
        <w:t xml:space="preserve"> households in total. </w:t>
      </w:r>
    </w:p>
    <w:p w:rsidR="002923C5" w:rsidRDefault="002923C5" w:rsidP="002923C5"/>
    <w:p w:rsidR="002923C5" w:rsidRDefault="002923C5" w:rsidP="002923C5">
      <w:r>
        <w:t>Four questionnaire forms were designed to collect information on household size and composition, personal and household income, major household expenditure, and regular food and household supply expenditures in the diaries. The household control form and the household questionnaire were administered by interview during the survey period, and the diaries were completed by the households over a two-week period. The personal questionnaire was administered to collect detailed information on health facility utilization and access, educational attendance and attainment, and labour force status.</w:t>
      </w:r>
    </w:p>
    <w:p w:rsidR="002923C5" w:rsidRDefault="002923C5" w:rsidP="002923C5"/>
    <w:p w:rsidR="002923C5" w:rsidRDefault="002923C5" w:rsidP="002923C5">
      <w:r>
        <w:t xml:space="preserve">The completed survey forms were checked by provincial </w:t>
      </w:r>
      <w:r w:rsidR="00171E1B">
        <w:t>Statistics staff</w:t>
      </w:r>
      <w:r>
        <w:t xml:space="preserve"> and processed by staff of the National Statistics Office who recorded their receipt from the supervisors and checked the questionnaires for completeness. Incomplete questionnaires were referred back to the field supervisors to collect the necessary information. The status of incomplete questionnaires was recorded as either out of scope, vacant dwelling, unable to be contacted, and refused to respond. </w:t>
      </w:r>
    </w:p>
    <w:p w:rsidR="002923C5" w:rsidRDefault="002923C5" w:rsidP="002923C5"/>
    <w:p w:rsidR="002923C5" w:rsidRDefault="002923C5" w:rsidP="002923C5">
      <w:r w:rsidRPr="00004392">
        <w:t xml:space="preserve">Households that had completed the household questionnaire and at least one week of the diaries were accepted for further data processing. The data coding and manual editing of the questionnaires began in </w:t>
      </w:r>
      <w:r w:rsidR="00004392" w:rsidRPr="00004392">
        <w:t>March</w:t>
      </w:r>
      <w:r w:rsidRPr="00004392">
        <w:t xml:space="preserve"> 20</w:t>
      </w:r>
      <w:r w:rsidR="00706B81">
        <w:t>11</w:t>
      </w:r>
      <w:r w:rsidRPr="00004392">
        <w:t xml:space="preserve"> and the</w:t>
      </w:r>
      <w:r w:rsidR="00714EBB" w:rsidRPr="00004392">
        <w:t xml:space="preserve"> scanning,</w:t>
      </w:r>
      <w:r w:rsidRPr="00004392">
        <w:t xml:space="preserve"> data entry and micro editing </w:t>
      </w:r>
      <w:r w:rsidR="00004392" w:rsidRPr="00004392">
        <w:t>were</w:t>
      </w:r>
      <w:r w:rsidRPr="00004392">
        <w:t xml:space="preserve"> completed by the mid-Ju</w:t>
      </w:r>
      <w:r w:rsidR="00004392" w:rsidRPr="00004392">
        <w:t xml:space="preserve">ne </w:t>
      </w:r>
      <w:r w:rsidRPr="00004392">
        <w:t>20</w:t>
      </w:r>
      <w:r w:rsidR="00004392" w:rsidRPr="00004392">
        <w:t>11</w:t>
      </w:r>
      <w:r w:rsidRPr="00004392">
        <w:t xml:space="preserve">. </w:t>
      </w:r>
      <w:r w:rsidR="00706B81">
        <w:t>Having designed the questionnaire to be scanned, all forms except for the diaries were scanned.  This approach was undertaken purposely to speed up the process of capturing the data into digital format at the same time maintaining the quality of the data.  The diaries were however manually entered into an MS access database system which was developed in-house.</w:t>
      </w:r>
      <w:r w:rsidRPr="00004392">
        <w:t xml:space="preserve"> After macro-editing and imputation, the data was transformed into a dataset that could be used for analysis, and tabulations were performed using Excel pivot tables.</w:t>
      </w:r>
    </w:p>
    <w:p w:rsidR="002923C5" w:rsidRDefault="002923C5" w:rsidP="002923C5"/>
    <w:p w:rsidR="002923C5" w:rsidRPr="00593EEC" w:rsidRDefault="002923C5" w:rsidP="002923C5">
      <w:pPr>
        <w:pStyle w:val="Heading3"/>
        <w:rPr>
          <w:rFonts w:ascii="Times New Roman" w:hAnsi="Times New Roman"/>
        </w:rPr>
      </w:pPr>
      <w:r>
        <w:br w:type="column"/>
      </w:r>
      <w:bookmarkStart w:id="6" w:name="_Toc174430379"/>
      <w:r w:rsidRPr="00593EEC">
        <w:rPr>
          <w:rFonts w:ascii="Times New Roman" w:hAnsi="Times New Roman"/>
        </w:rPr>
        <w:lastRenderedPageBreak/>
        <w:t>Data quality</w:t>
      </w:r>
      <w:bookmarkEnd w:id="6"/>
    </w:p>
    <w:p w:rsidR="002923C5" w:rsidRPr="001D1076" w:rsidRDefault="002923C5" w:rsidP="002923C5"/>
    <w:p w:rsidR="002923C5" w:rsidRDefault="002923C5" w:rsidP="002923C5">
      <w:r>
        <w:t xml:space="preserve">A total of </w:t>
      </w:r>
      <w:r w:rsidR="00AA458D">
        <w:t>4377</w:t>
      </w:r>
      <w:r>
        <w:t xml:space="preserve"> out of 4</w:t>
      </w:r>
      <w:r w:rsidR="00AA458D">
        <w:t>737</w:t>
      </w:r>
      <w:r>
        <w:t xml:space="preserve"> selected households fully responded to the survey, representing an overall response rate of </w:t>
      </w:r>
      <w:r w:rsidR="00AA458D">
        <w:t>92</w:t>
      </w:r>
      <w:r>
        <w:t>.</w:t>
      </w:r>
      <w:r w:rsidR="00AA458D">
        <w:t>4</w:t>
      </w:r>
      <w:r>
        <w:t xml:space="preserve"> percent (refer table 3.1). Only 4 percent did not fully respond or provided inadequate information to be included in the survey. However 11.4 percent of households were reported as vacant dwellings which, most probably, </w:t>
      </w:r>
      <w:r w:rsidRPr="002A05F0">
        <w:rPr>
          <w:rFonts w:ascii="Times" w:hAnsi="Times"/>
          <w:b/>
          <w:color w:val="0000FF"/>
        </w:rPr>
        <w:t>include</w:t>
      </w:r>
      <w:r>
        <w:t xml:space="preserve"> households that could not be contacted during the survey period. </w:t>
      </w:r>
    </w:p>
    <w:p w:rsidR="002923C5" w:rsidRDefault="002923C5" w:rsidP="002923C5"/>
    <w:p w:rsidR="002923C5" w:rsidRDefault="002923C5" w:rsidP="002923C5">
      <w:r>
        <w:t>Lower responses rates were reported for Port Vila (69%) and the rest of Shefa (76%) than in the other surveyed provinces. This was largely due to inadequate enumeration in Shefa province. However, apart from these areas the overall response rate indicated a high level of response especially in the provincial rural areas.</w:t>
      </w:r>
    </w:p>
    <w:p w:rsidR="002923C5" w:rsidRDefault="002923C5" w:rsidP="002923C5"/>
    <w:tbl>
      <w:tblPr>
        <w:tblW w:w="0" w:type="auto"/>
        <w:tblInd w:w="78" w:type="dxa"/>
        <w:tblLayout w:type="fixed"/>
        <w:tblLook w:val="0000"/>
      </w:tblPr>
      <w:tblGrid>
        <w:gridCol w:w="1483"/>
        <w:gridCol w:w="1247"/>
        <w:gridCol w:w="1440"/>
        <w:gridCol w:w="1260"/>
        <w:gridCol w:w="1080"/>
        <w:gridCol w:w="1440"/>
      </w:tblGrid>
      <w:tr w:rsidR="002923C5" w:rsidTr="0087415B">
        <w:trPr>
          <w:trHeight w:val="250"/>
        </w:trPr>
        <w:tc>
          <w:tcPr>
            <w:tcW w:w="7950" w:type="dxa"/>
            <w:gridSpan w:val="6"/>
            <w:tcBorders>
              <w:top w:val="nil"/>
              <w:left w:val="nil"/>
              <w:bottom w:val="nil"/>
              <w:right w:val="nil"/>
            </w:tcBorders>
          </w:tcPr>
          <w:p w:rsidR="002923C5" w:rsidRDefault="002923C5" w:rsidP="0087415B">
            <w:pPr>
              <w:autoSpaceDE w:val="0"/>
              <w:autoSpaceDN w:val="0"/>
              <w:adjustRightInd w:val="0"/>
              <w:rPr>
                <w:rFonts w:ascii="Arial" w:hAnsi="Arial" w:cs="Arial"/>
                <w:b/>
                <w:bCs/>
                <w:color w:val="000000"/>
                <w:sz w:val="20"/>
                <w:szCs w:val="20"/>
              </w:rPr>
            </w:pPr>
            <w:r>
              <w:rPr>
                <w:rFonts w:ascii="Arial" w:hAnsi="Arial" w:cs="Arial"/>
                <w:b/>
                <w:bCs/>
                <w:color w:val="000000"/>
                <w:sz w:val="20"/>
                <w:szCs w:val="20"/>
              </w:rPr>
              <w:t>Table 3.1  Number and Percentage of Sample Households by Response Status</w:t>
            </w:r>
          </w:p>
        </w:tc>
      </w:tr>
      <w:tr w:rsidR="002923C5" w:rsidTr="0087415B">
        <w:trPr>
          <w:trHeight w:val="250"/>
        </w:trPr>
        <w:tc>
          <w:tcPr>
            <w:tcW w:w="1483"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247"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44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26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08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44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r>
      <w:tr w:rsidR="002923C5" w:rsidRPr="006524F9" w:rsidTr="0087415B">
        <w:trPr>
          <w:trHeight w:val="600"/>
        </w:trPr>
        <w:tc>
          <w:tcPr>
            <w:tcW w:w="1483" w:type="dxa"/>
            <w:tcBorders>
              <w:top w:val="single" w:sz="4" w:space="0" w:color="auto"/>
              <w:left w:val="single" w:sz="4" w:space="0" w:color="auto"/>
              <w:bottom w:val="single" w:sz="4" w:space="0" w:color="auto"/>
              <w:right w:val="nil"/>
            </w:tcBorders>
          </w:tcPr>
          <w:p w:rsidR="002923C5" w:rsidRPr="006524F9" w:rsidRDefault="002923C5" w:rsidP="0087415B">
            <w:pPr>
              <w:autoSpaceDE w:val="0"/>
              <w:autoSpaceDN w:val="0"/>
              <w:adjustRightInd w:val="0"/>
              <w:rPr>
                <w:rFonts w:ascii="Arial" w:hAnsi="Arial" w:cs="Arial"/>
                <w:bCs/>
                <w:color w:val="000000"/>
                <w:sz w:val="20"/>
                <w:szCs w:val="20"/>
              </w:rPr>
            </w:pPr>
            <w:r w:rsidRPr="006524F9">
              <w:rPr>
                <w:rFonts w:ascii="Arial" w:hAnsi="Arial" w:cs="Arial"/>
                <w:bCs/>
                <w:color w:val="000000"/>
                <w:sz w:val="20"/>
                <w:szCs w:val="20"/>
              </w:rPr>
              <w:t>Province (Rural)</w:t>
            </w:r>
          </w:p>
        </w:tc>
        <w:tc>
          <w:tcPr>
            <w:tcW w:w="1247" w:type="dxa"/>
            <w:tcBorders>
              <w:top w:val="single" w:sz="4" w:space="0" w:color="auto"/>
              <w:left w:val="nil"/>
              <w:bottom w:val="single" w:sz="4" w:space="0" w:color="auto"/>
              <w:right w:val="nil"/>
            </w:tcBorders>
          </w:tcPr>
          <w:p w:rsidR="002923C5" w:rsidRPr="006524F9" w:rsidRDefault="002923C5" w:rsidP="0087415B">
            <w:pPr>
              <w:autoSpaceDE w:val="0"/>
              <w:autoSpaceDN w:val="0"/>
              <w:adjustRightInd w:val="0"/>
              <w:rPr>
                <w:rFonts w:ascii="Arial" w:hAnsi="Arial" w:cs="Arial"/>
                <w:bCs/>
                <w:color w:val="000000"/>
                <w:sz w:val="20"/>
                <w:szCs w:val="20"/>
              </w:rPr>
            </w:pPr>
            <w:r w:rsidRPr="006524F9">
              <w:rPr>
                <w:rFonts w:ascii="Arial" w:hAnsi="Arial" w:cs="Arial"/>
                <w:bCs/>
                <w:color w:val="000000"/>
                <w:sz w:val="20"/>
                <w:szCs w:val="20"/>
              </w:rPr>
              <w:t>Complete Response</w:t>
            </w:r>
          </w:p>
        </w:tc>
        <w:tc>
          <w:tcPr>
            <w:tcW w:w="1440" w:type="dxa"/>
            <w:tcBorders>
              <w:top w:val="single" w:sz="4" w:space="0" w:color="auto"/>
              <w:left w:val="nil"/>
              <w:bottom w:val="single" w:sz="4" w:space="0" w:color="auto"/>
              <w:right w:val="nil"/>
            </w:tcBorders>
          </w:tcPr>
          <w:p w:rsidR="002923C5" w:rsidRPr="006524F9" w:rsidRDefault="002923C5" w:rsidP="0087415B">
            <w:pPr>
              <w:autoSpaceDE w:val="0"/>
              <w:autoSpaceDN w:val="0"/>
              <w:adjustRightInd w:val="0"/>
              <w:jc w:val="center"/>
              <w:rPr>
                <w:rFonts w:ascii="Arial" w:hAnsi="Arial" w:cs="Arial"/>
                <w:bCs/>
                <w:color w:val="000000"/>
                <w:sz w:val="20"/>
                <w:szCs w:val="20"/>
              </w:rPr>
            </w:pPr>
            <w:r w:rsidRPr="006524F9">
              <w:rPr>
                <w:rFonts w:ascii="Arial" w:hAnsi="Arial" w:cs="Arial"/>
                <w:bCs/>
                <w:color w:val="000000"/>
                <w:sz w:val="20"/>
                <w:szCs w:val="20"/>
              </w:rPr>
              <w:t>Vacant Households</w:t>
            </w:r>
          </w:p>
        </w:tc>
        <w:tc>
          <w:tcPr>
            <w:tcW w:w="1260" w:type="dxa"/>
            <w:tcBorders>
              <w:top w:val="single" w:sz="4" w:space="0" w:color="auto"/>
              <w:left w:val="nil"/>
              <w:bottom w:val="single" w:sz="4" w:space="0" w:color="auto"/>
              <w:right w:val="nil"/>
            </w:tcBorders>
          </w:tcPr>
          <w:p w:rsidR="002923C5" w:rsidRPr="006524F9" w:rsidRDefault="002923C5" w:rsidP="0087415B">
            <w:pPr>
              <w:autoSpaceDE w:val="0"/>
              <w:autoSpaceDN w:val="0"/>
              <w:adjustRightInd w:val="0"/>
              <w:rPr>
                <w:rFonts w:ascii="Arial" w:hAnsi="Arial" w:cs="Arial"/>
                <w:bCs/>
                <w:color w:val="000000"/>
                <w:sz w:val="20"/>
                <w:szCs w:val="20"/>
              </w:rPr>
            </w:pPr>
            <w:r w:rsidRPr="006524F9">
              <w:rPr>
                <w:rFonts w:ascii="Arial" w:hAnsi="Arial" w:cs="Arial"/>
                <w:bCs/>
                <w:color w:val="000000"/>
                <w:sz w:val="20"/>
                <w:szCs w:val="20"/>
              </w:rPr>
              <w:t>Incomplete Response</w:t>
            </w:r>
          </w:p>
        </w:tc>
        <w:tc>
          <w:tcPr>
            <w:tcW w:w="1080" w:type="dxa"/>
            <w:tcBorders>
              <w:top w:val="single" w:sz="4" w:space="0" w:color="auto"/>
              <w:left w:val="nil"/>
              <w:bottom w:val="single" w:sz="4" w:space="0" w:color="auto"/>
              <w:right w:val="nil"/>
            </w:tcBorders>
          </w:tcPr>
          <w:p w:rsidR="002923C5" w:rsidRPr="006524F9" w:rsidRDefault="002923C5" w:rsidP="0087415B">
            <w:pPr>
              <w:autoSpaceDE w:val="0"/>
              <w:autoSpaceDN w:val="0"/>
              <w:adjustRightInd w:val="0"/>
              <w:jc w:val="right"/>
              <w:rPr>
                <w:rFonts w:ascii="Arial" w:hAnsi="Arial" w:cs="Arial"/>
                <w:bCs/>
                <w:color w:val="000000"/>
                <w:sz w:val="20"/>
                <w:szCs w:val="20"/>
              </w:rPr>
            </w:pPr>
            <w:r w:rsidRPr="006524F9">
              <w:rPr>
                <w:rFonts w:ascii="Arial" w:hAnsi="Arial" w:cs="Arial"/>
                <w:bCs/>
                <w:color w:val="000000"/>
                <w:sz w:val="20"/>
                <w:szCs w:val="20"/>
              </w:rPr>
              <w:t>Total Selected</w:t>
            </w:r>
          </w:p>
        </w:tc>
        <w:tc>
          <w:tcPr>
            <w:tcW w:w="1440" w:type="dxa"/>
            <w:tcBorders>
              <w:top w:val="single" w:sz="4" w:space="0" w:color="auto"/>
              <w:left w:val="nil"/>
              <w:bottom w:val="single" w:sz="4" w:space="0" w:color="auto"/>
              <w:right w:val="single" w:sz="4" w:space="0" w:color="auto"/>
            </w:tcBorders>
          </w:tcPr>
          <w:p w:rsidR="002923C5" w:rsidRPr="006524F9" w:rsidRDefault="002923C5" w:rsidP="0087415B">
            <w:pPr>
              <w:autoSpaceDE w:val="0"/>
              <w:autoSpaceDN w:val="0"/>
              <w:adjustRightInd w:val="0"/>
              <w:jc w:val="right"/>
              <w:rPr>
                <w:rFonts w:ascii="Arial" w:hAnsi="Arial" w:cs="Arial"/>
                <w:bCs/>
                <w:color w:val="000000"/>
                <w:sz w:val="20"/>
                <w:szCs w:val="20"/>
              </w:rPr>
            </w:pPr>
            <w:r w:rsidRPr="006524F9">
              <w:rPr>
                <w:rFonts w:ascii="Arial" w:hAnsi="Arial" w:cs="Arial"/>
                <w:bCs/>
                <w:color w:val="000000"/>
                <w:sz w:val="20"/>
                <w:szCs w:val="20"/>
              </w:rPr>
              <w:t>% Complete Response</w:t>
            </w:r>
          </w:p>
        </w:tc>
      </w:tr>
      <w:tr w:rsidR="002923C5" w:rsidTr="0087415B">
        <w:trPr>
          <w:trHeight w:val="250"/>
        </w:trPr>
        <w:tc>
          <w:tcPr>
            <w:tcW w:w="1483" w:type="dxa"/>
            <w:tcBorders>
              <w:top w:val="single" w:sz="4" w:space="0" w:color="auto"/>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Torba</w:t>
            </w:r>
          </w:p>
        </w:tc>
        <w:tc>
          <w:tcPr>
            <w:tcW w:w="1247" w:type="dxa"/>
            <w:tcBorders>
              <w:top w:val="single" w:sz="4" w:space="0" w:color="auto"/>
              <w:left w:val="single" w:sz="6" w:space="0" w:color="auto"/>
              <w:bottom w:val="nil"/>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450</w:t>
            </w:r>
          </w:p>
        </w:tc>
        <w:tc>
          <w:tcPr>
            <w:tcW w:w="1440" w:type="dxa"/>
            <w:tcBorders>
              <w:top w:val="single" w:sz="4" w:space="0" w:color="auto"/>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38</w:t>
            </w:r>
          </w:p>
        </w:tc>
        <w:tc>
          <w:tcPr>
            <w:tcW w:w="1260" w:type="dxa"/>
            <w:tcBorders>
              <w:top w:val="single" w:sz="4" w:space="0" w:color="auto"/>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6</w:t>
            </w:r>
          </w:p>
        </w:tc>
        <w:tc>
          <w:tcPr>
            <w:tcW w:w="1080" w:type="dxa"/>
            <w:tcBorders>
              <w:top w:val="single" w:sz="4" w:space="0" w:color="auto"/>
              <w:left w:val="nil"/>
              <w:bottom w:val="nil"/>
              <w:right w:val="single" w:sz="6" w:space="0" w:color="auto"/>
            </w:tcBorders>
          </w:tcPr>
          <w:p w:rsidR="002923C5" w:rsidRDefault="00AA458D" w:rsidP="00AA458D">
            <w:pPr>
              <w:autoSpaceDE w:val="0"/>
              <w:autoSpaceDN w:val="0"/>
              <w:adjustRightInd w:val="0"/>
              <w:jc w:val="right"/>
              <w:rPr>
                <w:rFonts w:ascii="Arial" w:hAnsi="Arial" w:cs="Arial"/>
                <w:color w:val="000000"/>
                <w:sz w:val="20"/>
                <w:szCs w:val="20"/>
              </w:rPr>
            </w:pPr>
            <w:r>
              <w:rPr>
                <w:rFonts w:ascii="Arial" w:hAnsi="Arial" w:cs="Arial"/>
                <w:color w:val="000000"/>
                <w:sz w:val="20"/>
                <w:szCs w:val="20"/>
              </w:rPr>
              <w:t>488</w:t>
            </w:r>
          </w:p>
        </w:tc>
        <w:tc>
          <w:tcPr>
            <w:tcW w:w="1440" w:type="dxa"/>
            <w:tcBorders>
              <w:top w:val="single" w:sz="4" w:space="0" w:color="auto"/>
              <w:left w:val="nil"/>
              <w:bottom w:val="nil"/>
              <w:right w:val="single" w:sz="6" w:space="0" w:color="auto"/>
            </w:tcBorders>
          </w:tcPr>
          <w:p w:rsidR="002923C5" w:rsidRDefault="002923C5"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9</w:t>
            </w:r>
            <w:r w:rsidR="0098463F">
              <w:rPr>
                <w:rFonts w:ascii="Arial" w:hAnsi="Arial" w:cs="Arial"/>
                <w:color w:val="000000"/>
                <w:sz w:val="20"/>
                <w:szCs w:val="20"/>
              </w:rPr>
              <w:t>2</w:t>
            </w:r>
            <w:r>
              <w:rPr>
                <w:rFonts w:ascii="Arial" w:hAnsi="Arial" w:cs="Arial"/>
                <w:color w:val="000000"/>
                <w:sz w:val="20"/>
                <w:szCs w:val="20"/>
              </w:rPr>
              <w:t>.</w:t>
            </w:r>
            <w:r w:rsidR="0098463F">
              <w:rPr>
                <w:rFonts w:ascii="Arial" w:hAnsi="Arial" w:cs="Arial"/>
                <w:color w:val="000000"/>
                <w:sz w:val="20"/>
                <w:szCs w:val="20"/>
              </w:rPr>
              <w:t>2</w:t>
            </w:r>
            <w:r>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Sanma</w:t>
            </w:r>
          </w:p>
        </w:tc>
        <w:tc>
          <w:tcPr>
            <w:tcW w:w="1247" w:type="dxa"/>
            <w:tcBorders>
              <w:top w:val="nil"/>
              <w:left w:val="single" w:sz="6" w:space="0" w:color="auto"/>
              <w:bottom w:val="nil"/>
              <w:right w:val="nil"/>
            </w:tcBorders>
          </w:tcPr>
          <w:p w:rsidR="002923C5" w:rsidRDefault="002923C5"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5</w:t>
            </w:r>
            <w:r w:rsidR="0098463F">
              <w:rPr>
                <w:rFonts w:ascii="Arial" w:hAnsi="Arial" w:cs="Arial"/>
                <w:color w:val="000000"/>
                <w:sz w:val="20"/>
                <w:szCs w:val="20"/>
              </w:rPr>
              <w:t>96</w:t>
            </w:r>
          </w:p>
        </w:tc>
        <w:tc>
          <w:tcPr>
            <w:tcW w:w="144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28</w:t>
            </w:r>
          </w:p>
        </w:tc>
        <w:tc>
          <w:tcPr>
            <w:tcW w:w="126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6</w:t>
            </w:r>
          </w:p>
        </w:tc>
        <w:tc>
          <w:tcPr>
            <w:tcW w:w="1080" w:type="dxa"/>
            <w:tcBorders>
              <w:top w:val="nil"/>
              <w:left w:val="nil"/>
              <w:bottom w:val="nil"/>
              <w:right w:val="single" w:sz="6" w:space="0" w:color="auto"/>
            </w:tcBorders>
          </w:tcPr>
          <w:p w:rsidR="002923C5" w:rsidRDefault="00AA458D" w:rsidP="00AA458D">
            <w:pPr>
              <w:autoSpaceDE w:val="0"/>
              <w:autoSpaceDN w:val="0"/>
              <w:adjustRightInd w:val="0"/>
              <w:jc w:val="right"/>
              <w:rPr>
                <w:rFonts w:ascii="Arial" w:hAnsi="Arial" w:cs="Arial"/>
                <w:color w:val="000000"/>
                <w:sz w:val="20"/>
                <w:szCs w:val="20"/>
              </w:rPr>
            </w:pPr>
            <w:r>
              <w:rPr>
                <w:rFonts w:ascii="Arial" w:hAnsi="Arial" w:cs="Arial"/>
                <w:color w:val="000000"/>
                <w:sz w:val="20"/>
                <w:szCs w:val="20"/>
              </w:rPr>
              <w:t>614</w:t>
            </w:r>
          </w:p>
        </w:tc>
        <w:tc>
          <w:tcPr>
            <w:tcW w:w="1440" w:type="dxa"/>
            <w:tcBorders>
              <w:top w:val="nil"/>
              <w:left w:val="nil"/>
              <w:bottom w:val="nil"/>
              <w:right w:val="single" w:sz="6" w:space="0" w:color="auto"/>
            </w:tcBorders>
          </w:tcPr>
          <w:p w:rsidR="002923C5" w:rsidRDefault="002923C5"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9</w:t>
            </w:r>
            <w:r w:rsidR="0098463F">
              <w:rPr>
                <w:rFonts w:ascii="Arial" w:hAnsi="Arial" w:cs="Arial"/>
                <w:color w:val="000000"/>
                <w:sz w:val="20"/>
                <w:szCs w:val="20"/>
              </w:rPr>
              <w:t>7</w:t>
            </w:r>
            <w:r>
              <w:rPr>
                <w:rFonts w:ascii="Arial" w:hAnsi="Arial" w:cs="Arial"/>
                <w:color w:val="000000"/>
                <w:sz w:val="20"/>
                <w:szCs w:val="20"/>
              </w:rPr>
              <w:t>.</w:t>
            </w:r>
            <w:r w:rsidR="0098463F">
              <w:rPr>
                <w:rFonts w:ascii="Arial" w:hAnsi="Arial" w:cs="Arial"/>
                <w:color w:val="000000"/>
                <w:sz w:val="20"/>
                <w:szCs w:val="20"/>
              </w:rPr>
              <w:t>1</w:t>
            </w:r>
            <w:r>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Penama</w:t>
            </w:r>
          </w:p>
        </w:tc>
        <w:tc>
          <w:tcPr>
            <w:tcW w:w="1247" w:type="dxa"/>
            <w:tcBorders>
              <w:top w:val="nil"/>
              <w:left w:val="single" w:sz="6" w:space="0" w:color="auto"/>
              <w:bottom w:val="nil"/>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610</w:t>
            </w:r>
          </w:p>
        </w:tc>
        <w:tc>
          <w:tcPr>
            <w:tcW w:w="144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51</w:t>
            </w:r>
          </w:p>
        </w:tc>
        <w:tc>
          <w:tcPr>
            <w:tcW w:w="126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28</w:t>
            </w:r>
          </w:p>
        </w:tc>
        <w:tc>
          <w:tcPr>
            <w:tcW w:w="1080" w:type="dxa"/>
            <w:tcBorders>
              <w:top w:val="nil"/>
              <w:left w:val="nil"/>
              <w:bottom w:val="nil"/>
              <w:right w:val="single" w:sz="6" w:space="0" w:color="auto"/>
            </w:tcBorders>
          </w:tcPr>
          <w:p w:rsidR="002923C5" w:rsidRDefault="002923C5" w:rsidP="00AA458D">
            <w:pPr>
              <w:autoSpaceDE w:val="0"/>
              <w:autoSpaceDN w:val="0"/>
              <w:adjustRightInd w:val="0"/>
              <w:jc w:val="right"/>
              <w:rPr>
                <w:rFonts w:ascii="Arial" w:hAnsi="Arial" w:cs="Arial"/>
                <w:color w:val="000000"/>
                <w:sz w:val="20"/>
                <w:szCs w:val="20"/>
              </w:rPr>
            </w:pPr>
            <w:r>
              <w:rPr>
                <w:rFonts w:ascii="Arial" w:hAnsi="Arial" w:cs="Arial"/>
                <w:color w:val="000000"/>
                <w:sz w:val="20"/>
                <w:szCs w:val="20"/>
              </w:rPr>
              <w:t>6</w:t>
            </w:r>
            <w:r w:rsidR="00AA458D">
              <w:rPr>
                <w:rFonts w:ascii="Arial" w:hAnsi="Arial" w:cs="Arial"/>
                <w:color w:val="000000"/>
                <w:sz w:val="20"/>
                <w:szCs w:val="20"/>
              </w:rPr>
              <w:t>13</w:t>
            </w:r>
          </w:p>
        </w:tc>
        <w:tc>
          <w:tcPr>
            <w:tcW w:w="1440" w:type="dxa"/>
            <w:tcBorders>
              <w:top w:val="nil"/>
              <w:left w:val="nil"/>
              <w:bottom w:val="nil"/>
              <w:right w:val="single" w:sz="6" w:space="0" w:color="auto"/>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99</w:t>
            </w:r>
            <w:r w:rsidR="002923C5">
              <w:rPr>
                <w:rFonts w:ascii="Arial" w:hAnsi="Arial" w:cs="Arial"/>
                <w:color w:val="000000"/>
                <w:sz w:val="20"/>
                <w:szCs w:val="20"/>
              </w:rPr>
              <w:t>.5%</w:t>
            </w:r>
          </w:p>
        </w:tc>
      </w:tr>
      <w:tr w:rsidR="002923C5" w:rsidTr="0087415B">
        <w:trPr>
          <w:trHeight w:val="250"/>
        </w:trPr>
        <w:tc>
          <w:tcPr>
            <w:tcW w:w="1483" w:type="dxa"/>
            <w:tcBorders>
              <w:top w:val="nil"/>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Malampa</w:t>
            </w:r>
          </w:p>
        </w:tc>
        <w:tc>
          <w:tcPr>
            <w:tcW w:w="1247" w:type="dxa"/>
            <w:tcBorders>
              <w:top w:val="nil"/>
              <w:left w:val="single" w:sz="6" w:space="0" w:color="auto"/>
              <w:bottom w:val="nil"/>
              <w:right w:val="nil"/>
            </w:tcBorders>
          </w:tcPr>
          <w:p w:rsidR="002923C5" w:rsidRDefault="002923C5"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59</w:t>
            </w:r>
            <w:r w:rsidR="0098463F">
              <w:rPr>
                <w:rFonts w:ascii="Arial" w:hAnsi="Arial" w:cs="Arial"/>
                <w:color w:val="000000"/>
                <w:sz w:val="20"/>
                <w:szCs w:val="20"/>
              </w:rPr>
              <w:t>0</w:t>
            </w:r>
          </w:p>
        </w:tc>
        <w:tc>
          <w:tcPr>
            <w:tcW w:w="144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43</w:t>
            </w:r>
          </w:p>
        </w:tc>
        <w:tc>
          <w:tcPr>
            <w:tcW w:w="126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3</w:t>
            </w:r>
          </w:p>
        </w:tc>
        <w:tc>
          <w:tcPr>
            <w:tcW w:w="1080" w:type="dxa"/>
            <w:tcBorders>
              <w:top w:val="nil"/>
              <w:left w:val="nil"/>
              <w:bottom w:val="nil"/>
              <w:right w:val="single" w:sz="6" w:space="0" w:color="auto"/>
            </w:tcBorders>
          </w:tcPr>
          <w:p w:rsidR="002923C5" w:rsidRDefault="002923C5" w:rsidP="00AA458D">
            <w:pPr>
              <w:autoSpaceDE w:val="0"/>
              <w:autoSpaceDN w:val="0"/>
              <w:adjustRightInd w:val="0"/>
              <w:jc w:val="right"/>
              <w:rPr>
                <w:rFonts w:ascii="Arial" w:hAnsi="Arial" w:cs="Arial"/>
                <w:color w:val="000000"/>
                <w:sz w:val="20"/>
                <w:szCs w:val="20"/>
              </w:rPr>
            </w:pPr>
            <w:r>
              <w:rPr>
                <w:rFonts w:ascii="Arial" w:hAnsi="Arial" w:cs="Arial"/>
                <w:color w:val="000000"/>
                <w:sz w:val="20"/>
                <w:szCs w:val="20"/>
              </w:rPr>
              <w:t>6</w:t>
            </w:r>
            <w:r w:rsidR="00AA458D">
              <w:rPr>
                <w:rFonts w:ascii="Arial" w:hAnsi="Arial" w:cs="Arial"/>
                <w:color w:val="000000"/>
                <w:sz w:val="20"/>
                <w:szCs w:val="20"/>
              </w:rPr>
              <w:t>35</w:t>
            </w:r>
          </w:p>
        </w:tc>
        <w:tc>
          <w:tcPr>
            <w:tcW w:w="1440" w:type="dxa"/>
            <w:tcBorders>
              <w:top w:val="nil"/>
              <w:left w:val="nil"/>
              <w:bottom w:val="nil"/>
              <w:right w:val="single" w:sz="6" w:space="0" w:color="auto"/>
            </w:tcBorders>
          </w:tcPr>
          <w:p w:rsidR="002923C5" w:rsidRDefault="002923C5"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92.</w:t>
            </w:r>
            <w:r w:rsidR="0098463F">
              <w:rPr>
                <w:rFonts w:ascii="Arial" w:hAnsi="Arial" w:cs="Arial"/>
                <w:color w:val="000000"/>
                <w:sz w:val="20"/>
                <w:szCs w:val="20"/>
              </w:rPr>
              <w:t>9</w:t>
            </w:r>
            <w:r>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Shefa</w:t>
            </w:r>
          </w:p>
        </w:tc>
        <w:tc>
          <w:tcPr>
            <w:tcW w:w="1247" w:type="dxa"/>
            <w:tcBorders>
              <w:top w:val="nil"/>
              <w:left w:val="single" w:sz="6" w:space="0" w:color="auto"/>
              <w:bottom w:val="nil"/>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537</w:t>
            </w:r>
          </w:p>
        </w:tc>
        <w:tc>
          <w:tcPr>
            <w:tcW w:w="144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99</w:t>
            </w:r>
          </w:p>
        </w:tc>
        <w:tc>
          <w:tcPr>
            <w:tcW w:w="126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41</w:t>
            </w:r>
          </w:p>
        </w:tc>
        <w:tc>
          <w:tcPr>
            <w:tcW w:w="1080" w:type="dxa"/>
            <w:tcBorders>
              <w:top w:val="nil"/>
              <w:left w:val="nil"/>
              <w:bottom w:val="nil"/>
              <w:right w:val="single" w:sz="6" w:space="0" w:color="auto"/>
            </w:tcBorders>
          </w:tcPr>
          <w:p w:rsidR="002923C5" w:rsidRDefault="00AA458D" w:rsidP="00AA458D">
            <w:pPr>
              <w:autoSpaceDE w:val="0"/>
              <w:autoSpaceDN w:val="0"/>
              <w:adjustRightInd w:val="0"/>
              <w:jc w:val="right"/>
              <w:rPr>
                <w:rFonts w:ascii="Arial" w:hAnsi="Arial" w:cs="Arial"/>
                <w:color w:val="000000"/>
                <w:sz w:val="20"/>
                <w:szCs w:val="20"/>
              </w:rPr>
            </w:pPr>
            <w:r>
              <w:rPr>
                <w:rFonts w:ascii="Arial" w:hAnsi="Arial" w:cs="Arial"/>
                <w:color w:val="000000"/>
                <w:sz w:val="20"/>
                <w:szCs w:val="20"/>
              </w:rPr>
              <w:t>617</w:t>
            </w:r>
          </w:p>
        </w:tc>
        <w:tc>
          <w:tcPr>
            <w:tcW w:w="1440" w:type="dxa"/>
            <w:tcBorders>
              <w:top w:val="nil"/>
              <w:left w:val="nil"/>
              <w:bottom w:val="nil"/>
              <w:right w:val="single" w:sz="6" w:space="0" w:color="auto"/>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87</w:t>
            </w:r>
            <w:r w:rsidR="002923C5">
              <w:rPr>
                <w:rFonts w:ascii="Arial" w:hAnsi="Arial" w:cs="Arial"/>
                <w:color w:val="000000"/>
                <w:sz w:val="20"/>
                <w:szCs w:val="20"/>
              </w:rPr>
              <w:t>.</w:t>
            </w:r>
            <w:r>
              <w:rPr>
                <w:rFonts w:ascii="Arial" w:hAnsi="Arial" w:cs="Arial"/>
                <w:color w:val="000000"/>
                <w:sz w:val="20"/>
                <w:szCs w:val="20"/>
              </w:rPr>
              <w:t>0</w:t>
            </w:r>
            <w:r w:rsidR="002923C5">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Tafea</w:t>
            </w:r>
          </w:p>
        </w:tc>
        <w:tc>
          <w:tcPr>
            <w:tcW w:w="1247" w:type="dxa"/>
            <w:tcBorders>
              <w:top w:val="nil"/>
              <w:left w:val="single" w:sz="6" w:space="0" w:color="auto"/>
              <w:bottom w:val="nil"/>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531</w:t>
            </w:r>
          </w:p>
        </w:tc>
        <w:tc>
          <w:tcPr>
            <w:tcW w:w="144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83</w:t>
            </w:r>
          </w:p>
        </w:tc>
        <w:tc>
          <w:tcPr>
            <w:tcW w:w="126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18</w:t>
            </w:r>
          </w:p>
        </w:tc>
        <w:tc>
          <w:tcPr>
            <w:tcW w:w="1080" w:type="dxa"/>
            <w:tcBorders>
              <w:top w:val="nil"/>
              <w:left w:val="nil"/>
              <w:bottom w:val="nil"/>
              <w:right w:val="single" w:sz="6" w:space="0" w:color="auto"/>
            </w:tcBorders>
          </w:tcPr>
          <w:p w:rsidR="002923C5" w:rsidRDefault="00AA458D" w:rsidP="00AA458D">
            <w:pPr>
              <w:autoSpaceDE w:val="0"/>
              <w:autoSpaceDN w:val="0"/>
              <w:adjustRightInd w:val="0"/>
              <w:jc w:val="right"/>
              <w:rPr>
                <w:rFonts w:ascii="Arial" w:hAnsi="Arial" w:cs="Arial"/>
                <w:color w:val="000000"/>
                <w:sz w:val="20"/>
                <w:szCs w:val="20"/>
              </w:rPr>
            </w:pPr>
            <w:r>
              <w:rPr>
                <w:rFonts w:ascii="Arial" w:hAnsi="Arial" w:cs="Arial"/>
                <w:color w:val="000000"/>
                <w:sz w:val="20"/>
                <w:szCs w:val="20"/>
              </w:rPr>
              <w:t>601</w:t>
            </w:r>
          </w:p>
        </w:tc>
        <w:tc>
          <w:tcPr>
            <w:tcW w:w="1440" w:type="dxa"/>
            <w:tcBorders>
              <w:top w:val="nil"/>
              <w:left w:val="nil"/>
              <w:bottom w:val="nil"/>
              <w:right w:val="single" w:sz="6" w:space="0" w:color="auto"/>
            </w:tcBorders>
          </w:tcPr>
          <w:p w:rsidR="002923C5" w:rsidRDefault="002923C5" w:rsidP="00B27247">
            <w:pPr>
              <w:autoSpaceDE w:val="0"/>
              <w:autoSpaceDN w:val="0"/>
              <w:adjustRightInd w:val="0"/>
              <w:jc w:val="right"/>
              <w:rPr>
                <w:rFonts w:ascii="Arial" w:hAnsi="Arial" w:cs="Arial"/>
                <w:color w:val="000000"/>
                <w:sz w:val="20"/>
                <w:szCs w:val="20"/>
              </w:rPr>
            </w:pPr>
            <w:r>
              <w:rPr>
                <w:rFonts w:ascii="Arial" w:hAnsi="Arial" w:cs="Arial"/>
                <w:color w:val="000000"/>
                <w:sz w:val="20"/>
                <w:szCs w:val="20"/>
              </w:rPr>
              <w:t>8</w:t>
            </w:r>
            <w:r w:rsidR="00B27247">
              <w:rPr>
                <w:rFonts w:ascii="Arial" w:hAnsi="Arial" w:cs="Arial"/>
                <w:color w:val="000000"/>
                <w:sz w:val="20"/>
                <w:szCs w:val="20"/>
              </w:rPr>
              <w:t>8</w:t>
            </w:r>
            <w:r>
              <w:rPr>
                <w:rFonts w:ascii="Arial" w:hAnsi="Arial" w:cs="Arial"/>
                <w:color w:val="000000"/>
                <w:sz w:val="20"/>
                <w:szCs w:val="20"/>
              </w:rPr>
              <w:t>.</w:t>
            </w:r>
            <w:r w:rsidR="00B27247">
              <w:rPr>
                <w:rFonts w:ascii="Arial" w:hAnsi="Arial" w:cs="Arial"/>
                <w:color w:val="000000"/>
                <w:sz w:val="20"/>
                <w:szCs w:val="20"/>
              </w:rPr>
              <w:t>4</w:t>
            </w:r>
            <w:r>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single" w:sz="4" w:space="0" w:color="auto"/>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Total Rural</w:t>
            </w:r>
          </w:p>
        </w:tc>
        <w:tc>
          <w:tcPr>
            <w:tcW w:w="1247" w:type="dxa"/>
            <w:tcBorders>
              <w:top w:val="nil"/>
              <w:left w:val="single" w:sz="6" w:space="0" w:color="auto"/>
              <w:bottom w:val="single" w:sz="4" w:space="0" w:color="auto"/>
              <w:right w:val="nil"/>
            </w:tcBorders>
          </w:tcPr>
          <w:p w:rsidR="002923C5" w:rsidRDefault="002923C5"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3</w:t>
            </w:r>
            <w:r w:rsidR="0098463F">
              <w:rPr>
                <w:rFonts w:ascii="Arial" w:hAnsi="Arial" w:cs="Arial"/>
                <w:color w:val="000000"/>
                <w:sz w:val="20"/>
                <w:szCs w:val="20"/>
              </w:rPr>
              <w:t>314</w:t>
            </w:r>
          </w:p>
        </w:tc>
        <w:tc>
          <w:tcPr>
            <w:tcW w:w="144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342</w:t>
            </w:r>
          </w:p>
        </w:tc>
        <w:tc>
          <w:tcPr>
            <w:tcW w:w="126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102</w:t>
            </w:r>
          </w:p>
        </w:tc>
        <w:tc>
          <w:tcPr>
            <w:tcW w:w="1080" w:type="dxa"/>
            <w:tcBorders>
              <w:top w:val="nil"/>
              <w:left w:val="nil"/>
              <w:bottom w:val="single" w:sz="4" w:space="0" w:color="auto"/>
              <w:right w:val="single" w:sz="6" w:space="0" w:color="auto"/>
            </w:tcBorders>
          </w:tcPr>
          <w:p w:rsidR="002923C5" w:rsidRDefault="002923C5" w:rsidP="00D102CC">
            <w:pPr>
              <w:autoSpaceDE w:val="0"/>
              <w:autoSpaceDN w:val="0"/>
              <w:adjustRightInd w:val="0"/>
              <w:jc w:val="right"/>
              <w:rPr>
                <w:rFonts w:ascii="Arial" w:hAnsi="Arial" w:cs="Arial"/>
                <w:color w:val="000000"/>
                <w:sz w:val="20"/>
                <w:szCs w:val="20"/>
              </w:rPr>
            </w:pPr>
            <w:r>
              <w:rPr>
                <w:rFonts w:ascii="Arial" w:hAnsi="Arial" w:cs="Arial"/>
                <w:color w:val="000000"/>
                <w:sz w:val="20"/>
                <w:szCs w:val="20"/>
              </w:rPr>
              <w:t>35</w:t>
            </w:r>
            <w:r w:rsidR="00D102CC">
              <w:rPr>
                <w:rFonts w:ascii="Arial" w:hAnsi="Arial" w:cs="Arial"/>
                <w:color w:val="000000"/>
                <w:sz w:val="20"/>
                <w:szCs w:val="20"/>
              </w:rPr>
              <w:t>68</w:t>
            </w:r>
          </w:p>
        </w:tc>
        <w:tc>
          <w:tcPr>
            <w:tcW w:w="1440" w:type="dxa"/>
            <w:tcBorders>
              <w:top w:val="nil"/>
              <w:left w:val="nil"/>
              <w:bottom w:val="single" w:sz="4" w:space="0" w:color="auto"/>
              <w:right w:val="single" w:sz="6" w:space="0" w:color="auto"/>
            </w:tcBorders>
          </w:tcPr>
          <w:p w:rsidR="002923C5" w:rsidRDefault="00B27247" w:rsidP="00B27247">
            <w:pPr>
              <w:autoSpaceDE w:val="0"/>
              <w:autoSpaceDN w:val="0"/>
              <w:adjustRightInd w:val="0"/>
              <w:jc w:val="right"/>
              <w:rPr>
                <w:rFonts w:ascii="Arial" w:hAnsi="Arial" w:cs="Arial"/>
                <w:color w:val="000000"/>
                <w:sz w:val="20"/>
                <w:szCs w:val="20"/>
              </w:rPr>
            </w:pPr>
            <w:r>
              <w:rPr>
                <w:rFonts w:ascii="Arial" w:hAnsi="Arial" w:cs="Arial"/>
                <w:color w:val="000000"/>
                <w:sz w:val="20"/>
                <w:szCs w:val="20"/>
              </w:rPr>
              <w:t>92</w:t>
            </w:r>
            <w:r w:rsidR="002923C5">
              <w:rPr>
                <w:rFonts w:ascii="Arial" w:hAnsi="Arial" w:cs="Arial"/>
                <w:color w:val="000000"/>
                <w:sz w:val="20"/>
                <w:szCs w:val="20"/>
              </w:rPr>
              <w:t>.</w:t>
            </w:r>
            <w:r>
              <w:rPr>
                <w:rFonts w:ascii="Arial" w:hAnsi="Arial" w:cs="Arial"/>
                <w:color w:val="000000"/>
                <w:sz w:val="20"/>
                <w:szCs w:val="20"/>
              </w:rPr>
              <w:t>9</w:t>
            </w:r>
            <w:r w:rsidR="002923C5">
              <w:rPr>
                <w:rFonts w:ascii="Arial" w:hAnsi="Arial" w:cs="Arial"/>
                <w:color w:val="000000"/>
                <w:sz w:val="20"/>
                <w:szCs w:val="20"/>
              </w:rPr>
              <w:t>%</w:t>
            </w:r>
          </w:p>
        </w:tc>
      </w:tr>
      <w:tr w:rsidR="002923C5" w:rsidTr="0087415B">
        <w:trPr>
          <w:trHeight w:val="250"/>
        </w:trPr>
        <w:tc>
          <w:tcPr>
            <w:tcW w:w="1483" w:type="dxa"/>
            <w:tcBorders>
              <w:top w:val="single" w:sz="4" w:space="0" w:color="auto"/>
              <w:left w:val="single" w:sz="4" w:space="0" w:color="auto"/>
              <w:bottom w:val="single" w:sz="4" w:space="0" w:color="auto"/>
              <w:right w:val="nil"/>
            </w:tcBorders>
          </w:tcPr>
          <w:p w:rsidR="002923C5" w:rsidRDefault="002923C5" w:rsidP="0087415B">
            <w:pPr>
              <w:autoSpaceDE w:val="0"/>
              <w:autoSpaceDN w:val="0"/>
              <w:adjustRightInd w:val="0"/>
              <w:rPr>
                <w:rFonts w:ascii="Arial" w:hAnsi="Arial" w:cs="Arial"/>
                <w:b/>
                <w:bCs/>
                <w:color w:val="000000"/>
                <w:sz w:val="20"/>
                <w:szCs w:val="20"/>
              </w:rPr>
            </w:pPr>
            <w:r>
              <w:rPr>
                <w:rFonts w:ascii="Arial" w:hAnsi="Arial" w:cs="Arial"/>
                <w:b/>
                <w:bCs/>
                <w:color w:val="000000"/>
                <w:sz w:val="20"/>
                <w:szCs w:val="20"/>
              </w:rPr>
              <w:t>Urban Area</w:t>
            </w:r>
          </w:p>
        </w:tc>
        <w:tc>
          <w:tcPr>
            <w:tcW w:w="1247" w:type="dxa"/>
            <w:tcBorders>
              <w:top w:val="single" w:sz="4" w:space="0" w:color="auto"/>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440" w:type="dxa"/>
            <w:tcBorders>
              <w:top w:val="single" w:sz="4" w:space="0" w:color="auto"/>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260" w:type="dxa"/>
            <w:tcBorders>
              <w:top w:val="single" w:sz="4" w:space="0" w:color="auto"/>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080" w:type="dxa"/>
            <w:tcBorders>
              <w:top w:val="single" w:sz="4" w:space="0" w:color="auto"/>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p>
        </w:tc>
        <w:tc>
          <w:tcPr>
            <w:tcW w:w="1440" w:type="dxa"/>
            <w:tcBorders>
              <w:top w:val="single" w:sz="4" w:space="0" w:color="auto"/>
              <w:left w:val="nil"/>
              <w:bottom w:val="single" w:sz="4" w:space="0" w:color="auto"/>
              <w:right w:val="single" w:sz="4" w:space="0" w:color="auto"/>
            </w:tcBorders>
          </w:tcPr>
          <w:p w:rsidR="002923C5" w:rsidRDefault="002923C5" w:rsidP="0087415B">
            <w:pPr>
              <w:autoSpaceDE w:val="0"/>
              <w:autoSpaceDN w:val="0"/>
              <w:adjustRightInd w:val="0"/>
              <w:jc w:val="right"/>
              <w:rPr>
                <w:rFonts w:ascii="Arial" w:hAnsi="Arial" w:cs="Arial"/>
                <w:color w:val="000000"/>
                <w:sz w:val="20"/>
                <w:szCs w:val="20"/>
              </w:rPr>
            </w:pPr>
          </w:p>
        </w:tc>
      </w:tr>
      <w:tr w:rsidR="002923C5" w:rsidTr="0087415B">
        <w:trPr>
          <w:trHeight w:val="250"/>
        </w:trPr>
        <w:tc>
          <w:tcPr>
            <w:tcW w:w="1483" w:type="dxa"/>
            <w:tcBorders>
              <w:top w:val="single" w:sz="4" w:space="0" w:color="auto"/>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Luganville</w:t>
            </w:r>
          </w:p>
        </w:tc>
        <w:tc>
          <w:tcPr>
            <w:tcW w:w="1247" w:type="dxa"/>
            <w:tcBorders>
              <w:top w:val="single" w:sz="4" w:space="0" w:color="auto"/>
              <w:left w:val="single" w:sz="6" w:space="0" w:color="auto"/>
              <w:bottom w:val="nil"/>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485</w:t>
            </w:r>
          </w:p>
        </w:tc>
        <w:tc>
          <w:tcPr>
            <w:tcW w:w="1440" w:type="dxa"/>
            <w:tcBorders>
              <w:top w:val="single" w:sz="4" w:space="0" w:color="auto"/>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52</w:t>
            </w:r>
          </w:p>
        </w:tc>
        <w:tc>
          <w:tcPr>
            <w:tcW w:w="1260" w:type="dxa"/>
            <w:tcBorders>
              <w:top w:val="single" w:sz="4" w:space="0" w:color="auto"/>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29</w:t>
            </w:r>
          </w:p>
        </w:tc>
        <w:tc>
          <w:tcPr>
            <w:tcW w:w="1080" w:type="dxa"/>
            <w:tcBorders>
              <w:top w:val="single" w:sz="4" w:space="0" w:color="auto"/>
              <w:left w:val="nil"/>
              <w:bottom w:val="nil"/>
              <w:right w:val="single" w:sz="6" w:space="0" w:color="auto"/>
            </w:tcBorders>
          </w:tcPr>
          <w:p w:rsidR="002923C5" w:rsidRDefault="00D102CC" w:rsidP="00D102CC">
            <w:pPr>
              <w:autoSpaceDE w:val="0"/>
              <w:autoSpaceDN w:val="0"/>
              <w:adjustRightInd w:val="0"/>
              <w:jc w:val="right"/>
              <w:rPr>
                <w:rFonts w:ascii="Arial" w:hAnsi="Arial" w:cs="Arial"/>
                <w:color w:val="000000"/>
                <w:sz w:val="20"/>
                <w:szCs w:val="20"/>
              </w:rPr>
            </w:pPr>
            <w:r>
              <w:rPr>
                <w:rFonts w:ascii="Arial" w:hAnsi="Arial" w:cs="Arial"/>
                <w:color w:val="000000"/>
                <w:sz w:val="20"/>
                <w:szCs w:val="20"/>
              </w:rPr>
              <w:t>523</w:t>
            </w:r>
          </w:p>
        </w:tc>
        <w:tc>
          <w:tcPr>
            <w:tcW w:w="1440" w:type="dxa"/>
            <w:tcBorders>
              <w:top w:val="single" w:sz="4" w:space="0" w:color="auto"/>
              <w:left w:val="nil"/>
              <w:bottom w:val="nil"/>
              <w:right w:val="single" w:sz="6" w:space="0" w:color="auto"/>
            </w:tcBorders>
          </w:tcPr>
          <w:p w:rsidR="002923C5" w:rsidRDefault="00B27247" w:rsidP="00B27247">
            <w:pPr>
              <w:autoSpaceDE w:val="0"/>
              <w:autoSpaceDN w:val="0"/>
              <w:adjustRightInd w:val="0"/>
              <w:jc w:val="right"/>
              <w:rPr>
                <w:rFonts w:ascii="Arial" w:hAnsi="Arial" w:cs="Arial"/>
                <w:color w:val="000000"/>
                <w:sz w:val="20"/>
                <w:szCs w:val="20"/>
              </w:rPr>
            </w:pPr>
            <w:r>
              <w:rPr>
                <w:rFonts w:ascii="Arial" w:hAnsi="Arial" w:cs="Arial"/>
                <w:color w:val="000000"/>
                <w:sz w:val="20"/>
                <w:szCs w:val="20"/>
              </w:rPr>
              <w:t>92</w:t>
            </w:r>
            <w:r w:rsidR="002923C5">
              <w:rPr>
                <w:rFonts w:ascii="Arial" w:hAnsi="Arial" w:cs="Arial"/>
                <w:color w:val="000000"/>
                <w:sz w:val="20"/>
                <w:szCs w:val="20"/>
              </w:rPr>
              <w:t>.</w:t>
            </w:r>
            <w:r>
              <w:rPr>
                <w:rFonts w:ascii="Arial" w:hAnsi="Arial" w:cs="Arial"/>
                <w:color w:val="000000"/>
                <w:sz w:val="20"/>
                <w:szCs w:val="20"/>
              </w:rPr>
              <w:t>7</w:t>
            </w:r>
            <w:r w:rsidR="002923C5">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nil"/>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Port </w:t>
            </w:r>
            <w:smartTag w:uri="urn:schemas-microsoft-com:office:smarttags" w:element="place">
              <w:smartTag w:uri="urn:schemas-microsoft-com:office:smarttags" w:element="City">
                <w:r>
                  <w:rPr>
                    <w:rFonts w:ascii="Arial" w:hAnsi="Arial" w:cs="Arial"/>
                    <w:color w:val="000000"/>
                    <w:sz w:val="20"/>
                    <w:szCs w:val="20"/>
                  </w:rPr>
                  <w:t>Vila</w:t>
                </w:r>
              </w:smartTag>
            </w:smartTag>
          </w:p>
        </w:tc>
        <w:tc>
          <w:tcPr>
            <w:tcW w:w="1247" w:type="dxa"/>
            <w:tcBorders>
              <w:top w:val="nil"/>
              <w:left w:val="single" w:sz="6" w:space="0" w:color="auto"/>
              <w:bottom w:val="nil"/>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578</w:t>
            </w:r>
          </w:p>
        </w:tc>
        <w:tc>
          <w:tcPr>
            <w:tcW w:w="144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127</w:t>
            </w:r>
          </w:p>
        </w:tc>
        <w:tc>
          <w:tcPr>
            <w:tcW w:w="1260" w:type="dxa"/>
            <w:tcBorders>
              <w:top w:val="nil"/>
              <w:left w:val="nil"/>
              <w:bottom w:val="nil"/>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54</w:t>
            </w:r>
          </w:p>
        </w:tc>
        <w:tc>
          <w:tcPr>
            <w:tcW w:w="1080" w:type="dxa"/>
            <w:tcBorders>
              <w:top w:val="nil"/>
              <w:left w:val="nil"/>
              <w:bottom w:val="nil"/>
              <w:right w:val="single" w:sz="6" w:space="0" w:color="auto"/>
            </w:tcBorders>
          </w:tcPr>
          <w:p w:rsidR="002923C5" w:rsidRDefault="00D102CC" w:rsidP="00D102CC">
            <w:pPr>
              <w:autoSpaceDE w:val="0"/>
              <w:autoSpaceDN w:val="0"/>
              <w:adjustRightInd w:val="0"/>
              <w:jc w:val="right"/>
              <w:rPr>
                <w:rFonts w:ascii="Arial" w:hAnsi="Arial" w:cs="Arial"/>
                <w:color w:val="000000"/>
                <w:sz w:val="20"/>
                <w:szCs w:val="20"/>
              </w:rPr>
            </w:pPr>
            <w:r>
              <w:rPr>
                <w:rFonts w:ascii="Arial" w:hAnsi="Arial" w:cs="Arial"/>
                <w:color w:val="000000"/>
                <w:sz w:val="20"/>
                <w:szCs w:val="20"/>
              </w:rPr>
              <w:t>646</w:t>
            </w:r>
          </w:p>
        </w:tc>
        <w:tc>
          <w:tcPr>
            <w:tcW w:w="1440" w:type="dxa"/>
            <w:tcBorders>
              <w:top w:val="nil"/>
              <w:left w:val="nil"/>
              <w:bottom w:val="nil"/>
              <w:right w:val="single" w:sz="6" w:space="0" w:color="auto"/>
            </w:tcBorders>
          </w:tcPr>
          <w:p w:rsidR="002923C5" w:rsidRDefault="00B27247" w:rsidP="00B27247">
            <w:pPr>
              <w:autoSpaceDE w:val="0"/>
              <w:autoSpaceDN w:val="0"/>
              <w:adjustRightInd w:val="0"/>
              <w:jc w:val="right"/>
              <w:rPr>
                <w:rFonts w:ascii="Arial" w:hAnsi="Arial" w:cs="Arial"/>
                <w:color w:val="000000"/>
                <w:sz w:val="20"/>
                <w:szCs w:val="20"/>
              </w:rPr>
            </w:pPr>
            <w:r>
              <w:rPr>
                <w:rFonts w:ascii="Arial" w:hAnsi="Arial" w:cs="Arial"/>
                <w:color w:val="000000"/>
                <w:sz w:val="20"/>
                <w:szCs w:val="20"/>
              </w:rPr>
              <w:t>89</w:t>
            </w:r>
            <w:r w:rsidR="002923C5">
              <w:rPr>
                <w:rFonts w:ascii="Arial" w:hAnsi="Arial" w:cs="Arial"/>
                <w:color w:val="000000"/>
                <w:sz w:val="20"/>
                <w:szCs w:val="20"/>
              </w:rPr>
              <w:t>.</w:t>
            </w:r>
            <w:r>
              <w:rPr>
                <w:rFonts w:ascii="Arial" w:hAnsi="Arial" w:cs="Arial"/>
                <w:color w:val="000000"/>
                <w:sz w:val="20"/>
                <w:szCs w:val="20"/>
              </w:rPr>
              <w:t>5</w:t>
            </w:r>
            <w:r w:rsidR="002923C5">
              <w:rPr>
                <w:rFonts w:ascii="Arial" w:hAnsi="Arial" w:cs="Arial"/>
                <w:color w:val="000000"/>
                <w:sz w:val="20"/>
                <w:szCs w:val="20"/>
              </w:rPr>
              <w:t>%</w:t>
            </w:r>
          </w:p>
        </w:tc>
      </w:tr>
      <w:tr w:rsidR="002923C5" w:rsidTr="0087415B">
        <w:trPr>
          <w:trHeight w:val="250"/>
        </w:trPr>
        <w:tc>
          <w:tcPr>
            <w:tcW w:w="1483" w:type="dxa"/>
            <w:tcBorders>
              <w:top w:val="nil"/>
              <w:left w:val="single" w:sz="6" w:space="0" w:color="auto"/>
              <w:bottom w:val="single" w:sz="4" w:space="0" w:color="auto"/>
              <w:right w:val="nil"/>
            </w:tcBorders>
          </w:tcPr>
          <w:p w:rsidR="002923C5" w:rsidRDefault="002923C5" w:rsidP="0087415B">
            <w:pPr>
              <w:autoSpaceDE w:val="0"/>
              <w:autoSpaceDN w:val="0"/>
              <w:adjustRightInd w:val="0"/>
              <w:rPr>
                <w:rFonts w:ascii="Arial" w:hAnsi="Arial" w:cs="Arial"/>
                <w:color w:val="000000"/>
                <w:sz w:val="20"/>
                <w:szCs w:val="20"/>
              </w:rPr>
            </w:pPr>
            <w:r>
              <w:rPr>
                <w:rFonts w:ascii="Arial" w:hAnsi="Arial" w:cs="Arial"/>
                <w:color w:val="000000"/>
                <w:sz w:val="20"/>
                <w:szCs w:val="20"/>
              </w:rPr>
              <w:t>Urban Total</w:t>
            </w:r>
          </w:p>
        </w:tc>
        <w:tc>
          <w:tcPr>
            <w:tcW w:w="1247" w:type="dxa"/>
            <w:tcBorders>
              <w:top w:val="nil"/>
              <w:left w:val="single" w:sz="6" w:space="0" w:color="auto"/>
              <w:bottom w:val="single" w:sz="4" w:space="0" w:color="auto"/>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1063</w:t>
            </w:r>
          </w:p>
        </w:tc>
        <w:tc>
          <w:tcPr>
            <w:tcW w:w="144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179</w:t>
            </w:r>
          </w:p>
        </w:tc>
        <w:tc>
          <w:tcPr>
            <w:tcW w:w="1260" w:type="dxa"/>
            <w:tcBorders>
              <w:top w:val="nil"/>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83</w:t>
            </w:r>
          </w:p>
        </w:tc>
        <w:tc>
          <w:tcPr>
            <w:tcW w:w="1080" w:type="dxa"/>
            <w:tcBorders>
              <w:top w:val="nil"/>
              <w:left w:val="nil"/>
              <w:bottom w:val="single" w:sz="4" w:space="0" w:color="auto"/>
              <w:right w:val="single" w:sz="6" w:space="0" w:color="auto"/>
            </w:tcBorders>
          </w:tcPr>
          <w:p w:rsidR="002923C5" w:rsidRDefault="002923C5" w:rsidP="00D102CC">
            <w:pPr>
              <w:autoSpaceDE w:val="0"/>
              <w:autoSpaceDN w:val="0"/>
              <w:adjustRightInd w:val="0"/>
              <w:jc w:val="right"/>
              <w:rPr>
                <w:rFonts w:ascii="Arial" w:hAnsi="Arial" w:cs="Arial"/>
                <w:color w:val="000000"/>
                <w:sz w:val="20"/>
                <w:szCs w:val="20"/>
              </w:rPr>
            </w:pPr>
            <w:r>
              <w:rPr>
                <w:rFonts w:ascii="Arial" w:hAnsi="Arial" w:cs="Arial"/>
                <w:color w:val="000000"/>
                <w:sz w:val="20"/>
                <w:szCs w:val="20"/>
              </w:rPr>
              <w:t>1</w:t>
            </w:r>
            <w:r w:rsidR="00D102CC">
              <w:rPr>
                <w:rFonts w:ascii="Arial" w:hAnsi="Arial" w:cs="Arial"/>
                <w:color w:val="000000"/>
                <w:sz w:val="20"/>
                <w:szCs w:val="20"/>
              </w:rPr>
              <w:t>169</w:t>
            </w:r>
          </w:p>
        </w:tc>
        <w:tc>
          <w:tcPr>
            <w:tcW w:w="1440" w:type="dxa"/>
            <w:tcBorders>
              <w:top w:val="nil"/>
              <w:left w:val="nil"/>
              <w:bottom w:val="single" w:sz="4" w:space="0" w:color="auto"/>
              <w:right w:val="single" w:sz="6" w:space="0" w:color="auto"/>
            </w:tcBorders>
          </w:tcPr>
          <w:p w:rsidR="002923C5" w:rsidRDefault="00B27247" w:rsidP="00B27247">
            <w:pPr>
              <w:autoSpaceDE w:val="0"/>
              <w:autoSpaceDN w:val="0"/>
              <w:adjustRightInd w:val="0"/>
              <w:jc w:val="right"/>
              <w:rPr>
                <w:rFonts w:ascii="Arial" w:hAnsi="Arial" w:cs="Arial"/>
                <w:color w:val="000000"/>
                <w:sz w:val="20"/>
                <w:szCs w:val="20"/>
              </w:rPr>
            </w:pPr>
            <w:r>
              <w:rPr>
                <w:rFonts w:ascii="Arial" w:hAnsi="Arial" w:cs="Arial"/>
                <w:color w:val="000000"/>
                <w:sz w:val="20"/>
                <w:szCs w:val="20"/>
              </w:rPr>
              <w:t>90</w:t>
            </w:r>
            <w:r w:rsidR="002923C5">
              <w:rPr>
                <w:rFonts w:ascii="Arial" w:hAnsi="Arial" w:cs="Arial"/>
                <w:color w:val="000000"/>
                <w:sz w:val="20"/>
                <w:szCs w:val="20"/>
              </w:rPr>
              <w:t>.</w:t>
            </w:r>
            <w:r>
              <w:rPr>
                <w:rFonts w:ascii="Arial" w:hAnsi="Arial" w:cs="Arial"/>
                <w:color w:val="000000"/>
                <w:sz w:val="20"/>
                <w:szCs w:val="20"/>
              </w:rPr>
              <w:t>9</w:t>
            </w:r>
            <w:r w:rsidR="002923C5">
              <w:rPr>
                <w:rFonts w:ascii="Arial" w:hAnsi="Arial" w:cs="Arial"/>
                <w:color w:val="000000"/>
                <w:sz w:val="20"/>
                <w:szCs w:val="20"/>
              </w:rPr>
              <w:t>%</w:t>
            </w:r>
          </w:p>
        </w:tc>
      </w:tr>
      <w:tr w:rsidR="002923C5" w:rsidTr="0087415B">
        <w:trPr>
          <w:trHeight w:val="250"/>
        </w:trPr>
        <w:tc>
          <w:tcPr>
            <w:tcW w:w="1483" w:type="dxa"/>
            <w:tcBorders>
              <w:top w:val="single" w:sz="4" w:space="0" w:color="auto"/>
              <w:left w:val="single" w:sz="4" w:space="0" w:color="auto"/>
              <w:bottom w:val="single" w:sz="4" w:space="0" w:color="auto"/>
              <w:right w:val="nil"/>
            </w:tcBorders>
          </w:tcPr>
          <w:p w:rsidR="002923C5" w:rsidRDefault="002923C5" w:rsidP="0087415B">
            <w:pPr>
              <w:autoSpaceDE w:val="0"/>
              <w:autoSpaceDN w:val="0"/>
              <w:adjustRightInd w:val="0"/>
              <w:rPr>
                <w:rFonts w:ascii="Arial" w:hAnsi="Arial" w:cs="Arial"/>
                <w:b/>
                <w:bCs/>
                <w:color w:val="000000"/>
                <w:sz w:val="20"/>
                <w:szCs w:val="20"/>
              </w:rPr>
            </w:pPr>
            <w:r>
              <w:rPr>
                <w:rFonts w:ascii="Arial" w:hAnsi="Arial" w:cs="Arial"/>
                <w:b/>
                <w:bCs/>
                <w:color w:val="000000"/>
                <w:sz w:val="20"/>
                <w:szCs w:val="20"/>
              </w:rPr>
              <w:t>Grand Total</w:t>
            </w:r>
          </w:p>
        </w:tc>
        <w:tc>
          <w:tcPr>
            <w:tcW w:w="1247" w:type="dxa"/>
            <w:tcBorders>
              <w:top w:val="single" w:sz="4" w:space="0" w:color="auto"/>
              <w:left w:val="nil"/>
              <w:bottom w:val="single" w:sz="4" w:space="0" w:color="auto"/>
              <w:right w:val="nil"/>
            </w:tcBorders>
          </w:tcPr>
          <w:p w:rsidR="002923C5" w:rsidRDefault="0098463F" w:rsidP="0098463F">
            <w:pPr>
              <w:autoSpaceDE w:val="0"/>
              <w:autoSpaceDN w:val="0"/>
              <w:adjustRightInd w:val="0"/>
              <w:jc w:val="right"/>
              <w:rPr>
                <w:rFonts w:ascii="Arial" w:hAnsi="Arial" w:cs="Arial"/>
                <w:color w:val="000000"/>
                <w:sz w:val="20"/>
                <w:szCs w:val="20"/>
              </w:rPr>
            </w:pPr>
            <w:r>
              <w:rPr>
                <w:rFonts w:ascii="Arial" w:hAnsi="Arial" w:cs="Arial"/>
                <w:color w:val="000000"/>
                <w:sz w:val="20"/>
                <w:szCs w:val="20"/>
              </w:rPr>
              <w:t>4377</w:t>
            </w:r>
          </w:p>
        </w:tc>
        <w:tc>
          <w:tcPr>
            <w:tcW w:w="1440" w:type="dxa"/>
            <w:tcBorders>
              <w:top w:val="single" w:sz="4" w:space="0" w:color="auto"/>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521</w:t>
            </w:r>
          </w:p>
        </w:tc>
        <w:tc>
          <w:tcPr>
            <w:tcW w:w="1260" w:type="dxa"/>
            <w:tcBorders>
              <w:top w:val="single" w:sz="4" w:space="0" w:color="auto"/>
              <w:left w:val="nil"/>
              <w:bottom w:val="single" w:sz="4" w:space="0" w:color="auto"/>
              <w:right w:val="nil"/>
            </w:tcBorders>
          </w:tcPr>
          <w:p w:rsidR="002923C5" w:rsidRDefault="002923C5" w:rsidP="0087415B">
            <w:pPr>
              <w:autoSpaceDE w:val="0"/>
              <w:autoSpaceDN w:val="0"/>
              <w:adjustRightInd w:val="0"/>
              <w:jc w:val="right"/>
              <w:rPr>
                <w:rFonts w:ascii="Arial" w:hAnsi="Arial" w:cs="Arial"/>
                <w:color w:val="000000"/>
                <w:sz w:val="20"/>
                <w:szCs w:val="20"/>
              </w:rPr>
            </w:pPr>
            <w:r>
              <w:rPr>
                <w:rFonts w:ascii="Arial" w:hAnsi="Arial" w:cs="Arial"/>
                <w:color w:val="000000"/>
                <w:sz w:val="20"/>
                <w:szCs w:val="20"/>
              </w:rPr>
              <w:t>185</w:t>
            </w:r>
          </w:p>
        </w:tc>
        <w:tc>
          <w:tcPr>
            <w:tcW w:w="1080" w:type="dxa"/>
            <w:tcBorders>
              <w:top w:val="single" w:sz="4" w:space="0" w:color="auto"/>
              <w:left w:val="nil"/>
              <w:bottom w:val="single" w:sz="4" w:space="0" w:color="auto"/>
              <w:right w:val="nil"/>
            </w:tcBorders>
          </w:tcPr>
          <w:p w:rsidR="002923C5" w:rsidRDefault="002923C5" w:rsidP="00D102CC">
            <w:pPr>
              <w:autoSpaceDE w:val="0"/>
              <w:autoSpaceDN w:val="0"/>
              <w:adjustRightInd w:val="0"/>
              <w:jc w:val="right"/>
              <w:rPr>
                <w:rFonts w:ascii="Arial" w:hAnsi="Arial" w:cs="Arial"/>
                <w:color w:val="000000"/>
                <w:sz w:val="20"/>
                <w:szCs w:val="20"/>
              </w:rPr>
            </w:pPr>
            <w:r>
              <w:rPr>
                <w:rFonts w:ascii="Arial" w:hAnsi="Arial" w:cs="Arial"/>
                <w:color w:val="000000"/>
                <w:sz w:val="20"/>
                <w:szCs w:val="20"/>
              </w:rPr>
              <w:t>4</w:t>
            </w:r>
            <w:r w:rsidR="00D102CC">
              <w:rPr>
                <w:rFonts w:ascii="Arial" w:hAnsi="Arial" w:cs="Arial"/>
                <w:color w:val="000000"/>
                <w:sz w:val="20"/>
                <w:szCs w:val="20"/>
              </w:rPr>
              <w:t>737</w:t>
            </w:r>
          </w:p>
        </w:tc>
        <w:tc>
          <w:tcPr>
            <w:tcW w:w="1440" w:type="dxa"/>
            <w:tcBorders>
              <w:top w:val="single" w:sz="4" w:space="0" w:color="auto"/>
              <w:left w:val="nil"/>
              <w:bottom w:val="single" w:sz="4" w:space="0" w:color="auto"/>
              <w:right w:val="single" w:sz="4" w:space="0" w:color="auto"/>
            </w:tcBorders>
          </w:tcPr>
          <w:p w:rsidR="002923C5" w:rsidRDefault="00B27247" w:rsidP="00B27247">
            <w:pPr>
              <w:autoSpaceDE w:val="0"/>
              <w:autoSpaceDN w:val="0"/>
              <w:adjustRightInd w:val="0"/>
              <w:jc w:val="right"/>
              <w:rPr>
                <w:rFonts w:ascii="Arial" w:hAnsi="Arial" w:cs="Arial"/>
                <w:color w:val="000000"/>
                <w:sz w:val="20"/>
                <w:szCs w:val="20"/>
              </w:rPr>
            </w:pPr>
            <w:r>
              <w:rPr>
                <w:rFonts w:ascii="Arial" w:hAnsi="Arial" w:cs="Arial"/>
                <w:color w:val="000000"/>
                <w:sz w:val="20"/>
                <w:szCs w:val="20"/>
              </w:rPr>
              <w:t>92</w:t>
            </w:r>
            <w:r w:rsidR="002923C5">
              <w:rPr>
                <w:rFonts w:ascii="Arial" w:hAnsi="Arial" w:cs="Arial"/>
                <w:color w:val="000000"/>
                <w:sz w:val="20"/>
                <w:szCs w:val="20"/>
              </w:rPr>
              <w:t>.</w:t>
            </w:r>
            <w:r>
              <w:rPr>
                <w:rFonts w:ascii="Arial" w:hAnsi="Arial" w:cs="Arial"/>
                <w:color w:val="000000"/>
                <w:sz w:val="20"/>
                <w:szCs w:val="20"/>
              </w:rPr>
              <w:t>4</w:t>
            </w:r>
            <w:r w:rsidR="002923C5">
              <w:rPr>
                <w:rFonts w:ascii="Arial" w:hAnsi="Arial" w:cs="Arial"/>
                <w:color w:val="000000"/>
                <w:sz w:val="20"/>
                <w:szCs w:val="20"/>
              </w:rPr>
              <w:t>%</w:t>
            </w:r>
          </w:p>
        </w:tc>
      </w:tr>
    </w:tbl>
    <w:p w:rsidR="002923C5" w:rsidRDefault="002923C5" w:rsidP="002923C5"/>
    <w:p w:rsidR="002923C5" w:rsidRDefault="002923C5" w:rsidP="002923C5">
      <w:pPr>
        <w:jc w:val="center"/>
      </w:pPr>
    </w:p>
    <w:p w:rsidR="002923C5" w:rsidRDefault="002923C5" w:rsidP="002923C5">
      <w:r>
        <w:t xml:space="preserve">It should be noted that the analysis of the data contained in this report is based on a sample of households and therefore the estimates produced are subject to sampling error. It is anticipated that the relative standard error for the key estimates of total household income and expenditure will be less than five percent, which is the level at which the estimates are considered to be reliable. Standard errors for the key estimates will be calculated and included in the final report.     </w:t>
      </w:r>
    </w:p>
    <w:p w:rsidR="002923C5" w:rsidRDefault="002923C5" w:rsidP="002923C5"/>
    <w:p w:rsidR="002923C5" w:rsidRPr="006E4D03" w:rsidRDefault="002923C5" w:rsidP="002923C5">
      <w:r>
        <w:t xml:space="preserve">During the editing process, a number of imputations were made to adjust for non-response to expenditure items. In particular, expenditure was imputed for households that reported no food purchases or own consumption, and values for stated individual expenditure items were imputed where missing. Rents were also imputed for households which owned their own dwellings or occupied dwellings rent free; however, these imputations were not included in the analysis. </w:t>
      </w:r>
      <w:r w:rsidRPr="006E4D03">
        <w:t xml:space="preserve">It should be noted that </w:t>
      </w:r>
      <w:r>
        <w:t xml:space="preserve">18 </w:t>
      </w:r>
      <w:r w:rsidRPr="006E4D03">
        <w:t xml:space="preserve">households did not report any source of income for the 12 month reference period, and therefore total household income is likely to be understated. </w:t>
      </w:r>
    </w:p>
    <w:p w:rsidR="00D36843" w:rsidRDefault="008B4E79" w:rsidP="007510A5">
      <w:pPr>
        <w:spacing w:before="120" w:line="260" w:lineRule="exact"/>
        <w:jc w:val="both"/>
        <w:rPr>
          <w:rFonts w:ascii="Tahoma" w:hAnsi="Tahoma" w:cs="Tahoma"/>
          <w:sz w:val="20"/>
          <w:szCs w:val="20"/>
        </w:rPr>
      </w:pPr>
      <w:r>
        <w:rPr>
          <w:rFonts w:ascii="Tahoma" w:hAnsi="Tahoma" w:cs="Tahoma"/>
          <w:sz w:val="20"/>
          <w:szCs w:val="20"/>
        </w:rPr>
        <w:t xml:space="preserve"> </w:t>
      </w:r>
    </w:p>
    <w:sectPr w:rsidR="00D36843" w:rsidSect="004F01AD">
      <w:pgSz w:w="12240" w:h="15840"/>
      <w:pgMar w:top="902" w:right="902" w:bottom="1077"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63F" w:rsidRDefault="0098463F">
      <w:r>
        <w:separator/>
      </w:r>
    </w:p>
  </w:endnote>
  <w:endnote w:type="continuationSeparator" w:id="0">
    <w:p w:rsidR="0098463F" w:rsidRDefault="009846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63F" w:rsidRDefault="0098463F">
      <w:r>
        <w:separator/>
      </w:r>
    </w:p>
  </w:footnote>
  <w:footnote w:type="continuationSeparator" w:id="0">
    <w:p w:rsidR="0098463F" w:rsidRDefault="009846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19A656A"/>
    <w:lvl w:ilvl="0">
      <w:start w:val="1"/>
      <w:numFmt w:val="decimal"/>
      <w:lvlText w:val="%1."/>
      <w:lvlJc w:val="left"/>
      <w:pPr>
        <w:tabs>
          <w:tab w:val="num" w:pos="1492"/>
        </w:tabs>
        <w:ind w:left="1492" w:hanging="360"/>
      </w:pPr>
    </w:lvl>
  </w:abstractNum>
  <w:abstractNum w:abstractNumId="1">
    <w:nsid w:val="FFFFFF7D"/>
    <w:multiLevelType w:val="singleLevel"/>
    <w:tmpl w:val="ADF6536A"/>
    <w:lvl w:ilvl="0">
      <w:start w:val="1"/>
      <w:numFmt w:val="decimal"/>
      <w:lvlText w:val="%1."/>
      <w:lvlJc w:val="left"/>
      <w:pPr>
        <w:tabs>
          <w:tab w:val="num" w:pos="1209"/>
        </w:tabs>
        <w:ind w:left="1209" w:hanging="360"/>
      </w:pPr>
    </w:lvl>
  </w:abstractNum>
  <w:abstractNum w:abstractNumId="2">
    <w:nsid w:val="FFFFFF7E"/>
    <w:multiLevelType w:val="singleLevel"/>
    <w:tmpl w:val="05CCCE3E"/>
    <w:lvl w:ilvl="0">
      <w:start w:val="1"/>
      <w:numFmt w:val="decimal"/>
      <w:lvlText w:val="%1."/>
      <w:lvlJc w:val="left"/>
      <w:pPr>
        <w:tabs>
          <w:tab w:val="num" w:pos="926"/>
        </w:tabs>
        <w:ind w:left="926" w:hanging="360"/>
      </w:pPr>
    </w:lvl>
  </w:abstractNum>
  <w:abstractNum w:abstractNumId="3">
    <w:nsid w:val="FFFFFF7F"/>
    <w:multiLevelType w:val="singleLevel"/>
    <w:tmpl w:val="08388FDA"/>
    <w:lvl w:ilvl="0">
      <w:start w:val="1"/>
      <w:numFmt w:val="decimal"/>
      <w:lvlText w:val="%1."/>
      <w:lvlJc w:val="left"/>
      <w:pPr>
        <w:tabs>
          <w:tab w:val="num" w:pos="643"/>
        </w:tabs>
        <w:ind w:left="643" w:hanging="360"/>
      </w:pPr>
    </w:lvl>
  </w:abstractNum>
  <w:abstractNum w:abstractNumId="4">
    <w:nsid w:val="FFFFFF80"/>
    <w:multiLevelType w:val="singleLevel"/>
    <w:tmpl w:val="9B8E23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50A53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3124D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468B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86EF0A"/>
    <w:lvl w:ilvl="0">
      <w:start w:val="1"/>
      <w:numFmt w:val="decimal"/>
      <w:lvlText w:val="%1."/>
      <w:lvlJc w:val="left"/>
      <w:pPr>
        <w:tabs>
          <w:tab w:val="num" w:pos="360"/>
        </w:tabs>
        <w:ind w:left="360" w:hanging="360"/>
      </w:pPr>
    </w:lvl>
  </w:abstractNum>
  <w:abstractNum w:abstractNumId="9">
    <w:nsid w:val="FFFFFF89"/>
    <w:multiLevelType w:val="singleLevel"/>
    <w:tmpl w:val="B2EC8ED0"/>
    <w:lvl w:ilvl="0">
      <w:start w:val="1"/>
      <w:numFmt w:val="bullet"/>
      <w:lvlText w:val=""/>
      <w:lvlJc w:val="left"/>
      <w:pPr>
        <w:tabs>
          <w:tab w:val="num" w:pos="360"/>
        </w:tabs>
        <w:ind w:left="360" w:hanging="360"/>
      </w:pPr>
      <w:rPr>
        <w:rFonts w:ascii="Symbol" w:hAnsi="Symbol" w:hint="default"/>
      </w:rPr>
    </w:lvl>
  </w:abstractNum>
  <w:abstractNum w:abstractNumId="10">
    <w:nsid w:val="231A6535"/>
    <w:multiLevelType w:val="hybridMultilevel"/>
    <w:tmpl w:val="D3C6EE7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6CA4C0D"/>
    <w:multiLevelType w:val="multilevel"/>
    <w:tmpl w:val="8938D1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4456CAE"/>
    <w:multiLevelType w:val="hybridMultilevel"/>
    <w:tmpl w:val="58B447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8F26983"/>
    <w:multiLevelType w:val="hybridMultilevel"/>
    <w:tmpl w:val="2D1E58FE"/>
    <w:lvl w:ilvl="0" w:tplc="F54866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65F5E20"/>
    <w:multiLevelType w:val="hybridMultilevel"/>
    <w:tmpl w:val="87B6E30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D78408D"/>
    <w:multiLevelType w:val="hybridMultilevel"/>
    <w:tmpl w:val="4462EBD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B453363"/>
    <w:multiLevelType w:val="hybridMultilevel"/>
    <w:tmpl w:val="8938D14A"/>
    <w:lvl w:ilvl="0" w:tplc="F54866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CE612D"/>
    <w:multiLevelType w:val="hybridMultilevel"/>
    <w:tmpl w:val="AF26F1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6FE6182"/>
    <w:multiLevelType w:val="hybridMultilevel"/>
    <w:tmpl w:val="0728F93C"/>
    <w:lvl w:ilvl="0" w:tplc="F54866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87D5568"/>
    <w:multiLevelType w:val="multilevel"/>
    <w:tmpl w:val="2D1E58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702F18C7"/>
    <w:multiLevelType w:val="multilevel"/>
    <w:tmpl w:val="0728F9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2B678F7"/>
    <w:multiLevelType w:val="hybridMultilevel"/>
    <w:tmpl w:val="E30E0B4E"/>
    <w:lvl w:ilvl="0" w:tplc="F54866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BD3336B"/>
    <w:multiLevelType w:val="multilevel"/>
    <w:tmpl w:val="E30E0B4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8"/>
  </w:num>
  <w:num w:numId="12">
    <w:abstractNumId w:val="20"/>
  </w:num>
  <w:num w:numId="13">
    <w:abstractNumId w:val="15"/>
  </w:num>
  <w:num w:numId="14">
    <w:abstractNumId w:val="16"/>
  </w:num>
  <w:num w:numId="15">
    <w:abstractNumId w:val="11"/>
  </w:num>
  <w:num w:numId="16">
    <w:abstractNumId w:val="17"/>
  </w:num>
  <w:num w:numId="17">
    <w:abstractNumId w:val="10"/>
  </w:num>
  <w:num w:numId="18">
    <w:abstractNumId w:val="13"/>
  </w:num>
  <w:num w:numId="19">
    <w:abstractNumId w:val="19"/>
  </w:num>
  <w:num w:numId="20">
    <w:abstractNumId w:val="12"/>
  </w:num>
  <w:num w:numId="21">
    <w:abstractNumId w:val="21"/>
  </w:num>
  <w:num w:numId="22">
    <w:abstractNumId w:val="22"/>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0004"/>
  <w:defaultTabStop w:val="720"/>
  <w:characterSpacingControl w:val="doNotCompress"/>
  <w:footnotePr>
    <w:footnote w:id="-1"/>
    <w:footnote w:id="0"/>
  </w:footnotePr>
  <w:endnotePr>
    <w:endnote w:id="-1"/>
    <w:endnote w:id="0"/>
  </w:endnotePr>
  <w:compat/>
  <w:rsids>
    <w:rsidRoot w:val="00341026"/>
    <w:rsid w:val="00004392"/>
    <w:rsid w:val="000259FC"/>
    <w:rsid w:val="000303C6"/>
    <w:rsid w:val="00031793"/>
    <w:rsid w:val="0003427B"/>
    <w:rsid w:val="00040E64"/>
    <w:rsid w:val="00063B29"/>
    <w:rsid w:val="0006537D"/>
    <w:rsid w:val="000824A6"/>
    <w:rsid w:val="000D28C2"/>
    <w:rsid w:val="000F0E21"/>
    <w:rsid w:val="000F125E"/>
    <w:rsid w:val="001025D2"/>
    <w:rsid w:val="00123983"/>
    <w:rsid w:val="00127BC4"/>
    <w:rsid w:val="00137AAB"/>
    <w:rsid w:val="00152B04"/>
    <w:rsid w:val="00161CBB"/>
    <w:rsid w:val="00162B4F"/>
    <w:rsid w:val="00171E1B"/>
    <w:rsid w:val="0018214E"/>
    <w:rsid w:val="0018256D"/>
    <w:rsid w:val="0019645A"/>
    <w:rsid w:val="001B518A"/>
    <w:rsid w:val="001C2938"/>
    <w:rsid w:val="001F1CEF"/>
    <w:rsid w:val="00207236"/>
    <w:rsid w:val="002125A2"/>
    <w:rsid w:val="002133B3"/>
    <w:rsid w:val="00216ADA"/>
    <w:rsid w:val="002174DC"/>
    <w:rsid w:val="00232888"/>
    <w:rsid w:val="00234C42"/>
    <w:rsid w:val="00244DAC"/>
    <w:rsid w:val="002602AD"/>
    <w:rsid w:val="00282A66"/>
    <w:rsid w:val="002923C5"/>
    <w:rsid w:val="002B7563"/>
    <w:rsid w:val="002C065F"/>
    <w:rsid w:val="002D21E2"/>
    <w:rsid w:val="002D2613"/>
    <w:rsid w:val="002E2561"/>
    <w:rsid w:val="00326F1F"/>
    <w:rsid w:val="0034012C"/>
    <w:rsid w:val="00341026"/>
    <w:rsid w:val="003560D0"/>
    <w:rsid w:val="00366CF0"/>
    <w:rsid w:val="00383F21"/>
    <w:rsid w:val="003B4E30"/>
    <w:rsid w:val="003C4DD9"/>
    <w:rsid w:val="003E4C39"/>
    <w:rsid w:val="0041627C"/>
    <w:rsid w:val="00422A90"/>
    <w:rsid w:val="004237AD"/>
    <w:rsid w:val="0042615F"/>
    <w:rsid w:val="0042649D"/>
    <w:rsid w:val="004272DC"/>
    <w:rsid w:val="00442100"/>
    <w:rsid w:val="004508B4"/>
    <w:rsid w:val="0047147A"/>
    <w:rsid w:val="00484DF5"/>
    <w:rsid w:val="004A7424"/>
    <w:rsid w:val="004C3FF1"/>
    <w:rsid w:val="004D4BBE"/>
    <w:rsid w:val="004E63F9"/>
    <w:rsid w:val="004F01AD"/>
    <w:rsid w:val="004F7005"/>
    <w:rsid w:val="0050021D"/>
    <w:rsid w:val="00542F3E"/>
    <w:rsid w:val="005436E9"/>
    <w:rsid w:val="00543D72"/>
    <w:rsid w:val="005533E2"/>
    <w:rsid w:val="00553DD1"/>
    <w:rsid w:val="0057280E"/>
    <w:rsid w:val="005C0E7D"/>
    <w:rsid w:val="005E3169"/>
    <w:rsid w:val="005F2E44"/>
    <w:rsid w:val="005F45A1"/>
    <w:rsid w:val="006228B5"/>
    <w:rsid w:val="00641E4B"/>
    <w:rsid w:val="00644AF5"/>
    <w:rsid w:val="006458E7"/>
    <w:rsid w:val="00690C4F"/>
    <w:rsid w:val="006912B4"/>
    <w:rsid w:val="00693BCA"/>
    <w:rsid w:val="006A5DC5"/>
    <w:rsid w:val="006B1A66"/>
    <w:rsid w:val="006B77E1"/>
    <w:rsid w:val="006D2875"/>
    <w:rsid w:val="006F22BD"/>
    <w:rsid w:val="00706B81"/>
    <w:rsid w:val="00714EBB"/>
    <w:rsid w:val="00717C7A"/>
    <w:rsid w:val="00723719"/>
    <w:rsid w:val="007369E4"/>
    <w:rsid w:val="007400A9"/>
    <w:rsid w:val="00743FB7"/>
    <w:rsid w:val="007510A5"/>
    <w:rsid w:val="007825F0"/>
    <w:rsid w:val="00784CE3"/>
    <w:rsid w:val="00785336"/>
    <w:rsid w:val="007A238F"/>
    <w:rsid w:val="007A2624"/>
    <w:rsid w:val="007A66BB"/>
    <w:rsid w:val="007B37F6"/>
    <w:rsid w:val="007D257D"/>
    <w:rsid w:val="00801D7E"/>
    <w:rsid w:val="00807EA7"/>
    <w:rsid w:val="00807EF9"/>
    <w:rsid w:val="00814D68"/>
    <w:rsid w:val="008276F1"/>
    <w:rsid w:val="0087415B"/>
    <w:rsid w:val="008B4E79"/>
    <w:rsid w:val="008D03FC"/>
    <w:rsid w:val="008E1ED4"/>
    <w:rsid w:val="008F6E5C"/>
    <w:rsid w:val="00903247"/>
    <w:rsid w:val="009043EE"/>
    <w:rsid w:val="009068F2"/>
    <w:rsid w:val="00912B48"/>
    <w:rsid w:val="00931661"/>
    <w:rsid w:val="00936927"/>
    <w:rsid w:val="00943B34"/>
    <w:rsid w:val="009602A3"/>
    <w:rsid w:val="00962DC4"/>
    <w:rsid w:val="009755C5"/>
    <w:rsid w:val="0098463F"/>
    <w:rsid w:val="009A3459"/>
    <w:rsid w:val="009A3C9C"/>
    <w:rsid w:val="009A782D"/>
    <w:rsid w:val="009B576B"/>
    <w:rsid w:val="009D2F53"/>
    <w:rsid w:val="009E2B08"/>
    <w:rsid w:val="00A118A6"/>
    <w:rsid w:val="00A13288"/>
    <w:rsid w:val="00A3147A"/>
    <w:rsid w:val="00A5551E"/>
    <w:rsid w:val="00A61D55"/>
    <w:rsid w:val="00A61FBB"/>
    <w:rsid w:val="00A654B9"/>
    <w:rsid w:val="00A76CBC"/>
    <w:rsid w:val="00A80389"/>
    <w:rsid w:val="00A85404"/>
    <w:rsid w:val="00AA458D"/>
    <w:rsid w:val="00AB6175"/>
    <w:rsid w:val="00AB70DD"/>
    <w:rsid w:val="00AD3398"/>
    <w:rsid w:val="00AD638F"/>
    <w:rsid w:val="00AE4D4C"/>
    <w:rsid w:val="00B0265E"/>
    <w:rsid w:val="00B230B7"/>
    <w:rsid w:val="00B27247"/>
    <w:rsid w:val="00B326B9"/>
    <w:rsid w:val="00B33EC8"/>
    <w:rsid w:val="00B4428E"/>
    <w:rsid w:val="00B626ED"/>
    <w:rsid w:val="00B63DD8"/>
    <w:rsid w:val="00B924B7"/>
    <w:rsid w:val="00BA3071"/>
    <w:rsid w:val="00BA5EC3"/>
    <w:rsid w:val="00BB4D31"/>
    <w:rsid w:val="00BC18A3"/>
    <w:rsid w:val="00BD113B"/>
    <w:rsid w:val="00BD561C"/>
    <w:rsid w:val="00BF2A39"/>
    <w:rsid w:val="00C16842"/>
    <w:rsid w:val="00C27781"/>
    <w:rsid w:val="00C30AB8"/>
    <w:rsid w:val="00C30F79"/>
    <w:rsid w:val="00C6306F"/>
    <w:rsid w:val="00C800FA"/>
    <w:rsid w:val="00C92CEB"/>
    <w:rsid w:val="00CA0B68"/>
    <w:rsid w:val="00CA265F"/>
    <w:rsid w:val="00CA70C8"/>
    <w:rsid w:val="00CB05C5"/>
    <w:rsid w:val="00CD3C20"/>
    <w:rsid w:val="00CE1ABE"/>
    <w:rsid w:val="00D102CC"/>
    <w:rsid w:val="00D1030B"/>
    <w:rsid w:val="00D20652"/>
    <w:rsid w:val="00D32A44"/>
    <w:rsid w:val="00D35FC6"/>
    <w:rsid w:val="00D36843"/>
    <w:rsid w:val="00D52F97"/>
    <w:rsid w:val="00D7496C"/>
    <w:rsid w:val="00D77C9B"/>
    <w:rsid w:val="00D867BC"/>
    <w:rsid w:val="00D917DB"/>
    <w:rsid w:val="00DA246C"/>
    <w:rsid w:val="00DB2ECE"/>
    <w:rsid w:val="00DB53A0"/>
    <w:rsid w:val="00DC4712"/>
    <w:rsid w:val="00DC61B8"/>
    <w:rsid w:val="00DE1A2F"/>
    <w:rsid w:val="00DE3C02"/>
    <w:rsid w:val="00E038C6"/>
    <w:rsid w:val="00E25133"/>
    <w:rsid w:val="00E2654D"/>
    <w:rsid w:val="00E42707"/>
    <w:rsid w:val="00E524DA"/>
    <w:rsid w:val="00E537FC"/>
    <w:rsid w:val="00E7243C"/>
    <w:rsid w:val="00E768C3"/>
    <w:rsid w:val="00E82D9D"/>
    <w:rsid w:val="00EB01DF"/>
    <w:rsid w:val="00EB4521"/>
    <w:rsid w:val="00EC55E9"/>
    <w:rsid w:val="00ED1DFF"/>
    <w:rsid w:val="00ED1EB8"/>
    <w:rsid w:val="00ED480F"/>
    <w:rsid w:val="00EE4E60"/>
    <w:rsid w:val="00F025AD"/>
    <w:rsid w:val="00F128BC"/>
    <w:rsid w:val="00F37ADB"/>
    <w:rsid w:val="00F40BB5"/>
    <w:rsid w:val="00F64C8F"/>
    <w:rsid w:val="00F755A5"/>
    <w:rsid w:val="00FA18AE"/>
    <w:rsid w:val="00FB5F57"/>
    <w:rsid w:val="00FC1A3A"/>
    <w:rsid w:val="00FC7E8E"/>
    <w:rsid w:val="00FE22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4C42"/>
    <w:rPr>
      <w:sz w:val="24"/>
      <w:szCs w:val="24"/>
      <w:lang w:val="en-AU"/>
    </w:rPr>
  </w:style>
  <w:style w:type="paragraph" w:styleId="Heading1">
    <w:name w:val="heading 1"/>
    <w:basedOn w:val="Normal"/>
    <w:next w:val="Normal"/>
    <w:qFormat/>
    <w:rsid w:val="0034102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4102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25A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D3C20"/>
    <w:rPr>
      <w:b/>
      <w:bCs/>
      <w:sz w:val="20"/>
      <w:szCs w:val="20"/>
    </w:rPr>
  </w:style>
  <w:style w:type="paragraph" w:styleId="FootnoteText">
    <w:name w:val="footnote text"/>
    <w:basedOn w:val="Normal"/>
    <w:semiHidden/>
    <w:rsid w:val="00F128BC"/>
    <w:rPr>
      <w:sz w:val="20"/>
      <w:szCs w:val="20"/>
    </w:rPr>
  </w:style>
  <w:style w:type="character" w:styleId="FootnoteReference">
    <w:name w:val="footnote reference"/>
    <w:basedOn w:val="DefaultParagraphFont"/>
    <w:semiHidden/>
    <w:rsid w:val="00F128BC"/>
    <w:rPr>
      <w:vertAlign w:val="superscript"/>
    </w:rPr>
  </w:style>
</w:styles>
</file>

<file path=word/webSettings.xml><?xml version="1.0" encoding="utf-8"?>
<w:webSettings xmlns:r="http://schemas.openxmlformats.org/officeDocument/2006/relationships" xmlns:w="http://schemas.openxmlformats.org/wordprocessingml/2006/main">
  <w:divs>
    <w:div w:id="152646367">
      <w:bodyDiv w:val="1"/>
      <w:marLeft w:val="0"/>
      <w:marRight w:val="0"/>
      <w:marTop w:val="0"/>
      <w:marBottom w:val="0"/>
      <w:divBdr>
        <w:top w:val="none" w:sz="0" w:space="0" w:color="auto"/>
        <w:left w:val="none" w:sz="0" w:space="0" w:color="auto"/>
        <w:bottom w:val="none" w:sz="0" w:space="0" w:color="auto"/>
        <w:right w:val="none" w:sz="0" w:space="0" w:color="auto"/>
      </w:divBdr>
    </w:div>
    <w:div w:id="292256868">
      <w:bodyDiv w:val="1"/>
      <w:marLeft w:val="0"/>
      <w:marRight w:val="0"/>
      <w:marTop w:val="0"/>
      <w:marBottom w:val="0"/>
      <w:divBdr>
        <w:top w:val="none" w:sz="0" w:space="0" w:color="auto"/>
        <w:left w:val="none" w:sz="0" w:space="0" w:color="auto"/>
        <w:bottom w:val="none" w:sz="0" w:space="0" w:color="auto"/>
        <w:right w:val="none" w:sz="0" w:space="0" w:color="auto"/>
      </w:divBdr>
    </w:div>
    <w:div w:id="803275342">
      <w:bodyDiv w:val="1"/>
      <w:marLeft w:val="0"/>
      <w:marRight w:val="0"/>
      <w:marTop w:val="0"/>
      <w:marBottom w:val="0"/>
      <w:divBdr>
        <w:top w:val="none" w:sz="0" w:space="0" w:color="auto"/>
        <w:left w:val="none" w:sz="0" w:space="0" w:color="auto"/>
        <w:bottom w:val="none" w:sz="0" w:space="0" w:color="auto"/>
        <w:right w:val="none" w:sz="0" w:space="0" w:color="auto"/>
      </w:divBdr>
    </w:div>
    <w:div w:id="916747151">
      <w:bodyDiv w:val="1"/>
      <w:marLeft w:val="0"/>
      <w:marRight w:val="0"/>
      <w:marTop w:val="0"/>
      <w:marBottom w:val="0"/>
      <w:divBdr>
        <w:top w:val="none" w:sz="0" w:space="0" w:color="auto"/>
        <w:left w:val="none" w:sz="0" w:space="0" w:color="auto"/>
        <w:bottom w:val="none" w:sz="0" w:space="0" w:color="auto"/>
        <w:right w:val="none" w:sz="0" w:space="0" w:color="auto"/>
      </w:divBdr>
    </w:div>
    <w:div w:id="920721653">
      <w:bodyDiv w:val="1"/>
      <w:marLeft w:val="0"/>
      <w:marRight w:val="0"/>
      <w:marTop w:val="0"/>
      <w:marBottom w:val="0"/>
      <w:divBdr>
        <w:top w:val="none" w:sz="0" w:space="0" w:color="auto"/>
        <w:left w:val="none" w:sz="0" w:space="0" w:color="auto"/>
        <w:bottom w:val="none" w:sz="0" w:space="0" w:color="auto"/>
        <w:right w:val="none" w:sz="0" w:space="0" w:color="auto"/>
      </w:divBdr>
    </w:div>
    <w:div w:id="1411851029">
      <w:bodyDiv w:val="1"/>
      <w:marLeft w:val="0"/>
      <w:marRight w:val="0"/>
      <w:marTop w:val="0"/>
      <w:marBottom w:val="0"/>
      <w:divBdr>
        <w:top w:val="none" w:sz="0" w:space="0" w:color="auto"/>
        <w:left w:val="none" w:sz="0" w:space="0" w:color="auto"/>
        <w:bottom w:val="none" w:sz="0" w:space="0" w:color="auto"/>
        <w:right w:val="none" w:sz="0" w:space="0" w:color="auto"/>
      </w:divBdr>
    </w:div>
    <w:div w:id="1451586718">
      <w:bodyDiv w:val="1"/>
      <w:marLeft w:val="0"/>
      <w:marRight w:val="0"/>
      <w:marTop w:val="0"/>
      <w:marBottom w:val="0"/>
      <w:divBdr>
        <w:top w:val="none" w:sz="0" w:space="0" w:color="auto"/>
        <w:left w:val="none" w:sz="0" w:space="0" w:color="auto"/>
        <w:bottom w:val="none" w:sz="0" w:space="0" w:color="auto"/>
        <w:right w:val="none" w:sz="0" w:space="0" w:color="auto"/>
      </w:divBdr>
    </w:div>
    <w:div w:id="197355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613</TotalTime>
  <Pages>5</Pages>
  <Words>1795</Words>
  <Characters>9819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Chapter 1 Population and households </vt:lpstr>
    </vt:vector>
  </TitlesOfParts>
  <Company/>
  <LinksUpToDate>false</LinksUpToDate>
  <CharactersWithSpaces>11591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Population and households </dc:title>
  <dc:subject/>
  <dc:creator>krobertson</dc:creator>
  <cp:keywords/>
  <dc:description/>
  <cp:lastModifiedBy>hnalau</cp:lastModifiedBy>
  <cp:revision>10</cp:revision>
  <cp:lastPrinted>2008-09-15T04:39:00Z</cp:lastPrinted>
  <dcterms:created xsi:type="dcterms:W3CDTF">2012-09-30T21:50:00Z</dcterms:created>
  <dcterms:modified xsi:type="dcterms:W3CDTF">2012-10-03T05:03:00Z</dcterms:modified>
</cp:coreProperties>
</file>